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101FBF" w:rsidRPr="00C10AD9" w14:paraId="5D6BEF11" w14:textId="77777777" w:rsidTr="3028441A">
        <w:tc>
          <w:tcPr>
            <w:tcW w:w="1560" w:type="dxa"/>
            <w:vAlign w:val="center"/>
          </w:tcPr>
          <w:p w14:paraId="3CC4DCD7" w14:textId="77777777" w:rsidR="00101FBF" w:rsidRPr="00C10AD9" w:rsidRDefault="00101FBF" w:rsidP="0097344E">
            <w:pPr>
              <w:jc w:val="center"/>
              <w:rPr>
                <w:rFonts w:ascii="Aptos" w:hAnsi="Aptos"/>
                <w:b/>
                <w:bCs/>
              </w:rPr>
            </w:pPr>
            <w:r w:rsidRPr="00C10AD9">
              <w:rPr>
                <w:rFonts w:ascii="Aptos" w:hAnsi="Aptos"/>
                <w:b/>
                <w:bCs/>
              </w:rPr>
              <w:t>Axe 1</w:t>
            </w:r>
          </w:p>
        </w:tc>
        <w:tc>
          <w:tcPr>
            <w:tcW w:w="8505" w:type="dxa"/>
          </w:tcPr>
          <w:p w14:paraId="675906EF" w14:textId="45ADF40A" w:rsidR="00101FBF" w:rsidRPr="00C10AD9" w:rsidRDefault="00101FBF" w:rsidP="0097344E">
            <w:pPr>
              <w:jc w:val="center"/>
              <w:rPr>
                <w:rFonts w:ascii="Aptos" w:hAnsi="Aptos"/>
                <w:b/>
                <w:bCs/>
              </w:rPr>
            </w:pPr>
            <w:r w:rsidRPr="00C10AD9">
              <w:rPr>
                <w:rFonts w:ascii="Aptos" w:hAnsi="Aptos"/>
                <w:b/>
                <w:bCs/>
              </w:rPr>
              <w:t>Amélioration des connaissances</w:t>
            </w:r>
            <w:r w:rsidR="00A47250">
              <w:rPr>
                <w:rFonts w:ascii="Aptos" w:hAnsi="Aptos"/>
                <w:b/>
                <w:bCs/>
              </w:rPr>
              <w:t xml:space="preserve"> </w:t>
            </w:r>
            <w:r w:rsidR="00A47250">
              <w:rPr>
                <w:b/>
                <w:bCs/>
              </w:rPr>
              <w:t>scientifiques</w:t>
            </w:r>
          </w:p>
        </w:tc>
      </w:tr>
      <w:tr w:rsidR="00101FBF" w:rsidRPr="00C10AD9" w14:paraId="50CCF38C" w14:textId="77777777" w:rsidTr="3028441A">
        <w:tc>
          <w:tcPr>
            <w:tcW w:w="1560" w:type="dxa"/>
            <w:vAlign w:val="center"/>
          </w:tcPr>
          <w:p w14:paraId="10BF3CC4" w14:textId="2881AF7E" w:rsidR="00101FBF" w:rsidRPr="00C10AD9" w:rsidRDefault="00101FBF" w:rsidP="0097344E">
            <w:pPr>
              <w:jc w:val="center"/>
              <w:rPr>
                <w:rFonts w:ascii="Aptos" w:hAnsi="Aptos"/>
                <w:b/>
                <w:bCs/>
              </w:rPr>
            </w:pPr>
            <w:r w:rsidRPr="00C10AD9">
              <w:rPr>
                <w:rFonts w:ascii="Aptos" w:hAnsi="Aptos"/>
                <w:b/>
                <w:bCs/>
              </w:rPr>
              <w:t>Action 3</w:t>
            </w:r>
          </w:p>
        </w:tc>
        <w:tc>
          <w:tcPr>
            <w:tcW w:w="8505" w:type="dxa"/>
            <w:vAlign w:val="center"/>
          </w:tcPr>
          <w:p w14:paraId="4D138364" w14:textId="77777777" w:rsidR="00755584" w:rsidRDefault="00755584" w:rsidP="00405473">
            <w:pPr>
              <w:jc w:val="center"/>
              <w:rPr>
                <w:rFonts w:ascii="Aptos" w:hAnsi="Aptos"/>
                <w:b/>
                <w:bCs/>
              </w:rPr>
            </w:pPr>
            <w:r w:rsidRPr="00755584">
              <w:rPr>
                <w:rFonts w:ascii="Aptos" w:hAnsi="Aptos"/>
                <w:b/>
                <w:bCs/>
              </w:rPr>
              <w:t xml:space="preserve">Analyser les impacts des services de pollinisation et des dysfonctionnements liés au manque de pollinisation </w:t>
            </w:r>
          </w:p>
          <w:p w14:paraId="138AD9A9" w14:textId="59AFEC92" w:rsidR="00C131CF" w:rsidRPr="00405473" w:rsidRDefault="00405473" w:rsidP="00405473">
            <w:pPr>
              <w:jc w:val="center"/>
              <w:rPr>
                <w:rFonts w:ascii="Aptos" w:hAnsi="Aptos"/>
              </w:rPr>
            </w:pPr>
            <w:r w:rsidRPr="00405473">
              <w:rPr>
                <w:rFonts w:ascii="Aptos" w:hAnsi="Aptos"/>
              </w:rPr>
              <w:t>-</w:t>
            </w:r>
            <w:r>
              <w:rPr>
                <w:rFonts w:ascii="Aptos" w:hAnsi="Aptos"/>
              </w:rPr>
              <w:t xml:space="preserve"> </w:t>
            </w:r>
            <w:r w:rsidR="00C131CF" w:rsidRPr="00405473">
              <w:rPr>
                <w:rFonts w:ascii="Aptos" w:hAnsi="Aptos"/>
              </w:rPr>
              <w:t>Rédacteur SLE</w:t>
            </w:r>
            <w:r>
              <w:rPr>
                <w:rFonts w:ascii="Aptos" w:hAnsi="Aptos"/>
              </w:rPr>
              <w:t xml:space="preserve"> -</w:t>
            </w:r>
          </w:p>
        </w:tc>
      </w:tr>
      <w:tr w:rsidR="00101FBF" w:rsidRPr="00C10AD9" w14:paraId="34F3BF08" w14:textId="77777777" w:rsidTr="3028441A">
        <w:tc>
          <w:tcPr>
            <w:tcW w:w="1560" w:type="dxa"/>
            <w:vAlign w:val="center"/>
          </w:tcPr>
          <w:p w14:paraId="61A822D1" w14:textId="77777777" w:rsidR="00101FBF" w:rsidRPr="00C10AD9" w:rsidRDefault="00101FBF" w:rsidP="0097344E">
            <w:pPr>
              <w:jc w:val="center"/>
              <w:rPr>
                <w:rFonts w:ascii="Aptos" w:hAnsi="Aptos"/>
                <w:b/>
                <w:bCs/>
              </w:rPr>
            </w:pPr>
            <w:r w:rsidRPr="00C10AD9">
              <w:rPr>
                <w:rFonts w:ascii="Aptos" w:hAnsi="Aptos"/>
                <w:b/>
                <w:bCs/>
              </w:rPr>
              <w:t>Priorité</w:t>
            </w:r>
          </w:p>
        </w:tc>
        <w:tc>
          <w:tcPr>
            <w:tcW w:w="8505" w:type="dxa"/>
          </w:tcPr>
          <w:p w14:paraId="0A4C876B" w14:textId="435D416C" w:rsidR="00101FBF" w:rsidRPr="00C10AD9" w:rsidRDefault="007D7D61" w:rsidP="0097344E">
            <w:pPr>
              <w:rPr>
                <w:rFonts w:ascii="Aptos" w:hAnsi="Aptos"/>
              </w:rPr>
            </w:pPr>
            <w:r>
              <w:rPr>
                <w:rFonts w:ascii="Aptos" w:hAnsi="Aptos"/>
              </w:rPr>
              <w:t>1</w:t>
            </w:r>
          </w:p>
        </w:tc>
      </w:tr>
      <w:tr w:rsidR="00101FBF" w:rsidRPr="00C10AD9" w14:paraId="4E280FBE" w14:textId="77777777" w:rsidTr="3028441A">
        <w:tc>
          <w:tcPr>
            <w:tcW w:w="1560" w:type="dxa"/>
            <w:vAlign w:val="center"/>
          </w:tcPr>
          <w:p w14:paraId="05F4615D" w14:textId="77777777" w:rsidR="00101FBF" w:rsidRPr="00C10AD9" w:rsidRDefault="00101FBF" w:rsidP="0097344E">
            <w:pPr>
              <w:jc w:val="center"/>
              <w:rPr>
                <w:rFonts w:ascii="Aptos" w:hAnsi="Aptos"/>
                <w:b/>
                <w:bCs/>
              </w:rPr>
            </w:pPr>
            <w:r w:rsidRPr="00C10AD9">
              <w:rPr>
                <w:rFonts w:ascii="Aptos" w:hAnsi="Aptos"/>
                <w:b/>
                <w:bCs/>
              </w:rPr>
              <w:t>Objectifs</w:t>
            </w:r>
          </w:p>
        </w:tc>
        <w:tc>
          <w:tcPr>
            <w:tcW w:w="8505" w:type="dxa"/>
          </w:tcPr>
          <w:p w14:paraId="225FB63F" w14:textId="3D780364" w:rsidR="000F075D" w:rsidRPr="00733FB0" w:rsidRDefault="000F075D" w:rsidP="00733FB0">
            <w:pPr>
              <w:pStyle w:val="Paragraphedeliste"/>
              <w:numPr>
                <w:ilvl w:val="0"/>
                <w:numId w:val="14"/>
              </w:numPr>
              <w:ind w:left="456" w:hanging="284"/>
              <w:jc w:val="both"/>
              <w:rPr>
                <w:rFonts w:ascii="Aptos" w:hAnsi="Aptos"/>
                <w:b/>
                <w:bCs/>
              </w:rPr>
            </w:pPr>
            <w:r w:rsidRPr="00733FB0">
              <w:rPr>
                <w:rFonts w:ascii="Aptos" w:hAnsi="Aptos"/>
                <w:b/>
                <w:bCs/>
              </w:rPr>
              <w:t>M</w:t>
            </w:r>
            <w:r w:rsidR="00BE2E0A">
              <w:rPr>
                <w:rFonts w:ascii="Aptos" w:hAnsi="Aptos"/>
                <w:b/>
                <w:bCs/>
              </w:rPr>
              <w:t>ettre</w:t>
            </w:r>
            <w:r w:rsidRPr="00733FB0">
              <w:rPr>
                <w:rFonts w:ascii="Aptos" w:hAnsi="Aptos"/>
                <w:b/>
                <w:bCs/>
              </w:rPr>
              <w:t xml:space="preserve"> en place un réseau d’experts scientifiques régionaux</w:t>
            </w:r>
            <w:r w:rsidR="00A47250">
              <w:rPr>
                <w:rFonts w:ascii="Aptos" w:hAnsi="Aptos"/>
                <w:b/>
                <w:bCs/>
              </w:rPr>
              <w:t>.</w:t>
            </w:r>
          </w:p>
          <w:p w14:paraId="5EFE6A7B" w14:textId="4026F26A" w:rsidR="000F075D" w:rsidRPr="00733FB0" w:rsidRDefault="00BD43B9" w:rsidP="00733FB0">
            <w:pPr>
              <w:pStyle w:val="Paragraphedeliste"/>
              <w:numPr>
                <w:ilvl w:val="0"/>
                <w:numId w:val="14"/>
              </w:numPr>
              <w:ind w:left="456" w:hanging="284"/>
              <w:jc w:val="both"/>
              <w:rPr>
                <w:rFonts w:ascii="Aptos" w:hAnsi="Aptos"/>
                <w:b/>
                <w:bCs/>
              </w:rPr>
            </w:pPr>
            <w:r>
              <w:rPr>
                <w:rFonts w:ascii="Aptos" w:hAnsi="Aptos"/>
                <w:b/>
                <w:bCs/>
              </w:rPr>
              <w:t xml:space="preserve">Améliorer les connaissances sur le </w:t>
            </w:r>
            <w:r w:rsidR="000F075D" w:rsidRPr="00733FB0">
              <w:rPr>
                <w:rFonts w:ascii="Aptos" w:hAnsi="Aptos"/>
                <w:b/>
                <w:bCs/>
              </w:rPr>
              <w:t>service de pollinisation</w:t>
            </w:r>
            <w:r w:rsidR="00A47250">
              <w:rPr>
                <w:rFonts w:ascii="Aptos" w:hAnsi="Aptos"/>
                <w:b/>
                <w:bCs/>
              </w:rPr>
              <w:t>.</w:t>
            </w:r>
          </w:p>
          <w:p w14:paraId="29717C8D" w14:textId="312E933E" w:rsidR="000F075D" w:rsidRPr="00733FB0" w:rsidRDefault="000F075D" w:rsidP="00733FB0">
            <w:pPr>
              <w:pStyle w:val="Paragraphedeliste"/>
              <w:numPr>
                <w:ilvl w:val="0"/>
                <w:numId w:val="14"/>
              </w:numPr>
              <w:ind w:left="456" w:hanging="284"/>
              <w:jc w:val="both"/>
              <w:rPr>
                <w:rFonts w:ascii="Aptos" w:hAnsi="Aptos"/>
                <w:b/>
                <w:bCs/>
              </w:rPr>
            </w:pPr>
            <w:r w:rsidRPr="00733FB0">
              <w:rPr>
                <w:rFonts w:ascii="Aptos" w:hAnsi="Aptos"/>
                <w:b/>
                <w:bCs/>
              </w:rPr>
              <w:t>Évalu</w:t>
            </w:r>
            <w:r w:rsidR="00BE2E0A">
              <w:rPr>
                <w:rFonts w:ascii="Aptos" w:hAnsi="Aptos"/>
                <w:b/>
                <w:bCs/>
              </w:rPr>
              <w:t>er</w:t>
            </w:r>
            <w:r w:rsidRPr="00733FB0">
              <w:rPr>
                <w:rFonts w:ascii="Aptos" w:hAnsi="Aptos"/>
                <w:b/>
                <w:bCs/>
              </w:rPr>
              <w:t xml:space="preserve"> </w:t>
            </w:r>
            <w:r w:rsidR="00BE2E0A">
              <w:rPr>
                <w:rFonts w:ascii="Aptos" w:hAnsi="Aptos"/>
                <w:b/>
                <w:bCs/>
              </w:rPr>
              <w:t>l</w:t>
            </w:r>
            <w:r w:rsidRPr="00733FB0">
              <w:rPr>
                <w:rFonts w:ascii="Aptos" w:hAnsi="Aptos"/>
                <w:b/>
                <w:bCs/>
              </w:rPr>
              <w:t>es impacts du déclin des pollinisateurs</w:t>
            </w:r>
            <w:r w:rsidR="00A47250">
              <w:rPr>
                <w:rFonts w:ascii="Aptos" w:hAnsi="Aptos"/>
                <w:b/>
                <w:bCs/>
              </w:rPr>
              <w:t>.</w:t>
            </w:r>
          </w:p>
          <w:p w14:paraId="08D77ECC" w14:textId="3356AC42" w:rsidR="00AB1FD3" w:rsidRPr="00BE2E0A" w:rsidRDefault="000F075D" w:rsidP="00BE2E0A">
            <w:pPr>
              <w:pStyle w:val="Paragraphedeliste"/>
              <w:numPr>
                <w:ilvl w:val="0"/>
                <w:numId w:val="14"/>
              </w:numPr>
              <w:ind w:left="456" w:hanging="284"/>
              <w:jc w:val="both"/>
              <w:rPr>
                <w:rFonts w:ascii="Aptos" w:hAnsi="Aptos"/>
                <w:b/>
                <w:bCs/>
              </w:rPr>
            </w:pPr>
            <w:r w:rsidRPr="00733FB0">
              <w:rPr>
                <w:rFonts w:ascii="Aptos" w:hAnsi="Aptos"/>
                <w:b/>
                <w:bCs/>
              </w:rPr>
              <w:t>Développe</w:t>
            </w:r>
            <w:r w:rsidR="00BE2E0A">
              <w:rPr>
                <w:rFonts w:ascii="Aptos" w:hAnsi="Aptos"/>
                <w:b/>
                <w:bCs/>
              </w:rPr>
              <w:t>r</w:t>
            </w:r>
            <w:r w:rsidRPr="00733FB0">
              <w:rPr>
                <w:rFonts w:ascii="Aptos" w:hAnsi="Aptos"/>
                <w:b/>
                <w:bCs/>
              </w:rPr>
              <w:t xml:space="preserve"> de</w:t>
            </w:r>
            <w:r w:rsidR="00BE2E0A">
              <w:rPr>
                <w:rFonts w:ascii="Aptos" w:hAnsi="Aptos"/>
                <w:b/>
                <w:bCs/>
              </w:rPr>
              <w:t>s</w:t>
            </w:r>
            <w:r w:rsidRPr="00733FB0">
              <w:rPr>
                <w:rFonts w:ascii="Aptos" w:hAnsi="Aptos"/>
                <w:b/>
                <w:bCs/>
              </w:rPr>
              <w:t xml:space="preserve"> protocoles scientifiques</w:t>
            </w:r>
            <w:r w:rsidR="00A47250">
              <w:rPr>
                <w:rFonts w:ascii="Aptos" w:hAnsi="Aptos"/>
                <w:b/>
                <w:bCs/>
              </w:rPr>
              <w:t>.</w:t>
            </w:r>
          </w:p>
        </w:tc>
      </w:tr>
      <w:tr w:rsidR="00101FBF" w:rsidRPr="00C10AD9" w14:paraId="122A9A32" w14:textId="77777777" w:rsidTr="3028441A">
        <w:tc>
          <w:tcPr>
            <w:tcW w:w="1560" w:type="dxa"/>
            <w:vAlign w:val="center"/>
          </w:tcPr>
          <w:p w14:paraId="71F0D3FC" w14:textId="77777777" w:rsidR="00101FBF" w:rsidRPr="00C10AD9" w:rsidRDefault="00101FBF" w:rsidP="0097344E">
            <w:pPr>
              <w:jc w:val="center"/>
              <w:rPr>
                <w:rFonts w:ascii="Aptos" w:hAnsi="Aptos"/>
                <w:b/>
                <w:bCs/>
              </w:rPr>
            </w:pPr>
            <w:r w:rsidRPr="00C10AD9">
              <w:rPr>
                <w:rFonts w:ascii="Aptos" w:hAnsi="Aptos"/>
                <w:b/>
                <w:bCs/>
              </w:rPr>
              <w:t>Calendrier</w:t>
            </w:r>
          </w:p>
        </w:tc>
        <w:tc>
          <w:tcPr>
            <w:tcW w:w="8505" w:type="dxa"/>
          </w:tcPr>
          <w:p w14:paraId="31AE98D9" w14:textId="768D60AF" w:rsidR="00101FBF" w:rsidRPr="00C10AD9" w:rsidRDefault="00ED325D" w:rsidP="0097344E">
            <w:pPr>
              <w:rPr>
                <w:rFonts w:ascii="Aptos" w:hAnsi="Aptos"/>
              </w:rPr>
            </w:pPr>
            <w:r>
              <w:rPr>
                <w:rFonts w:ascii="Aptos" w:hAnsi="Aptos"/>
              </w:rPr>
              <w:t>Durée PNA en cours</w:t>
            </w:r>
          </w:p>
        </w:tc>
      </w:tr>
      <w:tr w:rsidR="00101FBF" w:rsidRPr="00C10AD9" w14:paraId="7C92C64C" w14:textId="77777777" w:rsidTr="3028441A">
        <w:tc>
          <w:tcPr>
            <w:tcW w:w="1560" w:type="dxa"/>
            <w:vAlign w:val="center"/>
          </w:tcPr>
          <w:p w14:paraId="076A3015" w14:textId="77777777" w:rsidR="00101FBF" w:rsidRPr="00C10AD9" w:rsidRDefault="00101FBF" w:rsidP="0097344E">
            <w:pPr>
              <w:jc w:val="center"/>
              <w:rPr>
                <w:rFonts w:ascii="Aptos" w:hAnsi="Aptos"/>
                <w:b/>
                <w:bCs/>
              </w:rPr>
            </w:pPr>
            <w:r w:rsidRPr="00C10AD9">
              <w:rPr>
                <w:rFonts w:ascii="Aptos" w:hAnsi="Aptos"/>
                <w:b/>
                <w:bCs/>
              </w:rPr>
              <w:t>Contexte</w:t>
            </w:r>
          </w:p>
        </w:tc>
        <w:tc>
          <w:tcPr>
            <w:tcW w:w="8505" w:type="dxa"/>
          </w:tcPr>
          <w:p w14:paraId="28739D8A" w14:textId="64DB7014" w:rsidR="000F075D" w:rsidRPr="000F075D" w:rsidRDefault="3028441A" w:rsidP="000F075D">
            <w:pPr>
              <w:jc w:val="both"/>
              <w:rPr>
                <w:rFonts w:ascii="Aptos" w:hAnsi="Aptos"/>
              </w:rPr>
            </w:pPr>
            <w:r w:rsidRPr="3028441A">
              <w:rPr>
                <w:rFonts w:ascii="Aptos" w:hAnsi="Aptos"/>
              </w:rPr>
              <w:t>Les pollinisateurs, notamment les abeilles et les syrphes, sont essentiels pour la pollinisation des plantes à fleurs, un processus crucial pour la biodiversité et la production agricole. Les pollinisateurs sont responsables de la pollinisation de 75 % des cultures mondiales qui produisent des fruits et des graines consommés par l'homme (rapport IPBES). En Région Grand Est, l’effet des pollinisateurs sur les rendements agricoles est particulièrement important sur l’arboriculture, le maraichage et les oléo-protéagineux…</w:t>
            </w:r>
          </w:p>
          <w:p w14:paraId="766F70D3" w14:textId="77777777" w:rsidR="000F075D" w:rsidRPr="000F075D" w:rsidRDefault="000F075D" w:rsidP="000F075D">
            <w:pPr>
              <w:jc w:val="both"/>
              <w:rPr>
                <w:rFonts w:ascii="Aptos" w:hAnsi="Aptos"/>
              </w:rPr>
            </w:pPr>
          </w:p>
          <w:p w14:paraId="2C48499C" w14:textId="2280A267" w:rsidR="000F075D" w:rsidRPr="000F075D" w:rsidRDefault="3028441A" w:rsidP="000F075D">
            <w:pPr>
              <w:jc w:val="both"/>
              <w:rPr>
                <w:rFonts w:ascii="Aptos" w:hAnsi="Aptos"/>
              </w:rPr>
            </w:pPr>
            <w:r w:rsidRPr="3028441A">
              <w:rPr>
                <w:rFonts w:ascii="Aptos" w:hAnsi="Aptos"/>
              </w:rPr>
              <w:t>Le déclin des pollinisateurs menace non seulement la diversité des écosystèmes mais aussi la sécurité alimentaire et l’économie. Actuellement, environ 40 % des espèces d'insectes pollinisateurs sauvages sont menacées d'extinction en raison de facteurs tels que l'agriculture conventionnelle, avec l’utilisation de pesticides, la fragmentation et la destruction des habitats, le changement climatique, les espèces exotiques envahissantes et la pollution (rapport IPBES). Ce d</w:t>
            </w:r>
            <w:r w:rsidRPr="3028441A">
              <w:rPr>
                <w:rFonts w:ascii="Aptos" w:hAnsi="Aptos" w:cs="Aptos"/>
              </w:rPr>
              <w:t>é</w:t>
            </w:r>
            <w:r w:rsidRPr="3028441A">
              <w:rPr>
                <w:rFonts w:ascii="Aptos" w:hAnsi="Aptos"/>
              </w:rPr>
              <w:t>clin peut entra</w:t>
            </w:r>
            <w:r w:rsidRPr="3028441A">
              <w:rPr>
                <w:rFonts w:ascii="Aptos" w:hAnsi="Aptos" w:cs="Aptos"/>
              </w:rPr>
              <w:t>î</w:t>
            </w:r>
            <w:r w:rsidRPr="3028441A">
              <w:rPr>
                <w:rFonts w:ascii="Aptos" w:hAnsi="Aptos"/>
              </w:rPr>
              <w:t>ner une r</w:t>
            </w:r>
            <w:r w:rsidRPr="3028441A">
              <w:rPr>
                <w:rFonts w:ascii="Aptos" w:hAnsi="Aptos" w:cs="Aptos"/>
              </w:rPr>
              <w:t>é</w:t>
            </w:r>
            <w:r w:rsidRPr="3028441A">
              <w:rPr>
                <w:rFonts w:ascii="Aptos" w:hAnsi="Aptos"/>
              </w:rPr>
              <w:t>duction significative des rendements agricoles de certaines productions, comme les fruits, les légumes et oléo-protéagineux</w:t>
            </w:r>
            <w:r w:rsidRPr="3028441A">
              <w:rPr>
                <w:rFonts w:ascii="Arial" w:hAnsi="Arial" w:cs="Arial"/>
              </w:rPr>
              <w:t>​​</w:t>
            </w:r>
            <w:r w:rsidRPr="3028441A">
              <w:rPr>
                <w:rFonts w:ascii="Aptos" w:hAnsi="Aptos"/>
              </w:rPr>
              <w:t>.</w:t>
            </w:r>
          </w:p>
          <w:p w14:paraId="6C3CC25B" w14:textId="77777777" w:rsidR="000F075D" w:rsidRPr="000F075D" w:rsidRDefault="000F075D" w:rsidP="000F075D">
            <w:pPr>
              <w:jc w:val="both"/>
              <w:rPr>
                <w:rFonts w:ascii="Aptos" w:hAnsi="Aptos"/>
              </w:rPr>
            </w:pPr>
          </w:p>
          <w:p w14:paraId="71F91158" w14:textId="19DC7AC8" w:rsidR="000F075D" w:rsidRPr="000F075D" w:rsidRDefault="000F075D" w:rsidP="000F075D">
            <w:pPr>
              <w:jc w:val="both"/>
              <w:rPr>
                <w:rFonts w:ascii="Aptos" w:hAnsi="Aptos"/>
              </w:rPr>
            </w:pPr>
            <w:r w:rsidRPr="000F075D">
              <w:rPr>
                <w:rFonts w:ascii="Aptos" w:hAnsi="Aptos"/>
              </w:rPr>
              <w:t xml:space="preserve">Le concept de "One Health" </w:t>
            </w:r>
            <w:r w:rsidR="003857C9">
              <w:rPr>
                <w:rFonts w:ascii="Aptos" w:hAnsi="Aptos"/>
              </w:rPr>
              <w:t xml:space="preserve">(INRAE) </w:t>
            </w:r>
            <w:r w:rsidRPr="000F075D">
              <w:rPr>
                <w:rFonts w:ascii="Aptos" w:hAnsi="Aptos"/>
              </w:rPr>
              <w:t>souligne l'interdépendance entre la santé des écosystèmes, la santé animale et la santé humaine. En ce sens, la préservation des pollinisateurs est directement liée à la santé globale de notre environnement et, par conséquent, à notre propre bien-être.</w:t>
            </w:r>
          </w:p>
          <w:p w14:paraId="7B1B5992" w14:textId="77777777" w:rsidR="000F075D" w:rsidRPr="000F075D" w:rsidRDefault="000F075D" w:rsidP="000F075D">
            <w:pPr>
              <w:jc w:val="both"/>
              <w:rPr>
                <w:rFonts w:ascii="Aptos" w:hAnsi="Aptos"/>
              </w:rPr>
            </w:pPr>
          </w:p>
          <w:p w14:paraId="64BD359D" w14:textId="20B89CB3" w:rsidR="000F075D" w:rsidRPr="002A56E5" w:rsidRDefault="000F075D" w:rsidP="000F075D">
            <w:pPr>
              <w:jc w:val="both"/>
              <w:rPr>
                <w:rFonts w:ascii="Aptos" w:hAnsi="Aptos"/>
                <w:b/>
                <w:bCs/>
              </w:rPr>
            </w:pPr>
            <w:r>
              <w:rPr>
                <w:rFonts w:ascii="Aptos" w:hAnsi="Aptos"/>
                <w:b/>
                <w:bCs/>
              </w:rPr>
              <w:t>Défis actuels</w:t>
            </w:r>
            <w:r w:rsidRPr="00156880">
              <w:rPr>
                <w:rFonts w:ascii="Aptos" w:hAnsi="Aptos"/>
                <w:b/>
                <w:bCs/>
              </w:rPr>
              <w:t xml:space="preserve"> :</w:t>
            </w:r>
          </w:p>
          <w:p w14:paraId="49BEAD7D" w14:textId="77777777" w:rsidR="000F075D" w:rsidRPr="00AA2AC2" w:rsidRDefault="000F075D" w:rsidP="00AA2AC2">
            <w:pPr>
              <w:pStyle w:val="Paragraphedeliste"/>
              <w:numPr>
                <w:ilvl w:val="0"/>
                <w:numId w:val="7"/>
              </w:numPr>
              <w:ind w:left="456" w:hanging="284"/>
              <w:jc w:val="both"/>
              <w:rPr>
                <w:rFonts w:ascii="Aptos" w:hAnsi="Aptos"/>
              </w:rPr>
            </w:pPr>
            <w:r w:rsidRPr="00AA2AC2">
              <w:rPr>
                <w:rFonts w:ascii="Aptos" w:hAnsi="Aptos"/>
                <w:b/>
                <w:bCs/>
              </w:rPr>
              <w:t>Évaluation du service de pollinisation</w:t>
            </w:r>
            <w:r w:rsidRPr="00AA2AC2">
              <w:rPr>
                <w:rFonts w:ascii="Aptos" w:hAnsi="Aptos"/>
              </w:rPr>
              <w:t xml:space="preserve"> : Comprendre et quantifier la contribution des pollinisateurs sauvages et domestiques à la production agricole et à la santé des écosystèmes dans le Grand Est.</w:t>
            </w:r>
          </w:p>
          <w:p w14:paraId="33126C01" w14:textId="7414B1A5" w:rsidR="000F075D" w:rsidRPr="00AA2AC2" w:rsidRDefault="6997D84D" w:rsidP="00AA2AC2">
            <w:pPr>
              <w:pStyle w:val="Paragraphedeliste"/>
              <w:numPr>
                <w:ilvl w:val="0"/>
                <w:numId w:val="7"/>
              </w:numPr>
              <w:ind w:left="456" w:hanging="284"/>
              <w:jc w:val="both"/>
              <w:rPr>
                <w:rFonts w:ascii="Aptos" w:hAnsi="Aptos"/>
              </w:rPr>
            </w:pPr>
            <w:r w:rsidRPr="6997D84D">
              <w:rPr>
                <w:rFonts w:ascii="Aptos" w:hAnsi="Aptos"/>
                <w:b/>
                <w:bCs/>
              </w:rPr>
              <w:t>Impacts des menaces</w:t>
            </w:r>
            <w:r w:rsidRPr="6997D84D">
              <w:rPr>
                <w:rFonts w:ascii="Aptos" w:hAnsi="Aptos"/>
              </w:rPr>
              <w:t xml:space="preserve"> : Identifier et évaluer les effets des pesticides, du changement climatique, </w:t>
            </w:r>
            <w:r w:rsidR="00D75950">
              <w:rPr>
                <w:rFonts w:ascii="Aptos" w:hAnsi="Aptos"/>
              </w:rPr>
              <w:t>du manque de ressources nectarifères e</w:t>
            </w:r>
            <w:r w:rsidRPr="6997D84D">
              <w:rPr>
                <w:rFonts w:ascii="Aptos" w:hAnsi="Aptos"/>
              </w:rPr>
              <w:t>t des interactions entre les pollinisateurs domestiques et sauvages sur le service de pollinisation.</w:t>
            </w:r>
          </w:p>
          <w:p w14:paraId="64C622CD" w14:textId="33AAD00D" w:rsidR="000F075D" w:rsidRPr="00AA2AC2" w:rsidRDefault="000F075D" w:rsidP="00AA2AC2">
            <w:pPr>
              <w:pStyle w:val="Paragraphedeliste"/>
              <w:numPr>
                <w:ilvl w:val="0"/>
                <w:numId w:val="7"/>
              </w:numPr>
              <w:ind w:left="456" w:hanging="284"/>
              <w:jc w:val="both"/>
              <w:rPr>
                <w:rFonts w:ascii="Aptos" w:hAnsi="Aptos"/>
              </w:rPr>
            </w:pPr>
            <w:r w:rsidRPr="00AA2AC2">
              <w:rPr>
                <w:rFonts w:ascii="Aptos" w:hAnsi="Aptos"/>
                <w:b/>
                <w:bCs/>
              </w:rPr>
              <w:t>Connaissances et sensibilisation</w:t>
            </w:r>
            <w:r w:rsidRPr="00AA2AC2">
              <w:rPr>
                <w:rFonts w:ascii="Aptos" w:hAnsi="Aptos"/>
              </w:rPr>
              <w:t xml:space="preserve"> : Promouvoir la recherche et la diffusion des connaissances sur le service de pollinisation pour sensibiliser les décideurs et le </w:t>
            </w:r>
            <w:r w:rsidR="008E55F1">
              <w:rPr>
                <w:rFonts w:ascii="Aptos" w:hAnsi="Aptos"/>
              </w:rPr>
              <w:t xml:space="preserve">grand </w:t>
            </w:r>
            <w:r w:rsidRPr="00AA2AC2">
              <w:rPr>
                <w:rFonts w:ascii="Aptos" w:hAnsi="Aptos"/>
              </w:rPr>
              <w:t>public.</w:t>
            </w:r>
          </w:p>
          <w:p w14:paraId="551E0AD7" w14:textId="5942695A" w:rsidR="00101FBF" w:rsidRPr="00AA2AC2" w:rsidRDefault="000F075D" w:rsidP="00AA2AC2">
            <w:pPr>
              <w:pStyle w:val="Paragraphedeliste"/>
              <w:numPr>
                <w:ilvl w:val="0"/>
                <w:numId w:val="7"/>
              </w:numPr>
              <w:ind w:left="456" w:hanging="284"/>
              <w:jc w:val="both"/>
              <w:rPr>
                <w:rFonts w:ascii="Aptos" w:hAnsi="Aptos"/>
              </w:rPr>
            </w:pPr>
            <w:r w:rsidRPr="00E1637B">
              <w:rPr>
                <w:rFonts w:ascii="Aptos" w:hAnsi="Aptos"/>
                <w:b/>
                <w:bCs/>
              </w:rPr>
              <w:t>Utilisation des données existantes</w:t>
            </w:r>
            <w:r w:rsidRPr="00AA2AC2">
              <w:rPr>
                <w:rFonts w:ascii="Aptos" w:hAnsi="Aptos"/>
              </w:rPr>
              <w:t xml:space="preserve"> : Exploiter et enrichir la base de données régionale et le portail Entomo</w:t>
            </w:r>
            <w:r w:rsidR="00504BEA">
              <w:rPr>
                <w:rFonts w:ascii="Aptos" w:hAnsi="Aptos"/>
              </w:rPr>
              <w:t>logique du</w:t>
            </w:r>
            <w:r w:rsidRPr="00AA2AC2">
              <w:rPr>
                <w:rFonts w:ascii="Aptos" w:hAnsi="Aptos"/>
              </w:rPr>
              <w:t xml:space="preserve"> Grand Est de la SLE pour centraliser les informations et faciliter les analyses.</w:t>
            </w:r>
          </w:p>
        </w:tc>
      </w:tr>
      <w:tr w:rsidR="00101FBF" w:rsidRPr="00C10AD9" w14:paraId="5C560031" w14:textId="77777777" w:rsidTr="3028441A">
        <w:tc>
          <w:tcPr>
            <w:tcW w:w="1560" w:type="dxa"/>
            <w:vAlign w:val="center"/>
          </w:tcPr>
          <w:p w14:paraId="25CE5CE7" w14:textId="77777777" w:rsidR="00101FBF" w:rsidRPr="00C10AD9" w:rsidRDefault="00101FBF" w:rsidP="0097344E">
            <w:pPr>
              <w:jc w:val="center"/>
              <w:rPr>
                <w:rFonts w:ascii="Aptos" w:hAnsi="Aptos"/>
                <w:b/>
                <w:bCs/>
              </w:rPr>
            </w:pPr>
            <w:r w:rsidRPr="00C10AD9">
              <w:rPr>
                <w:rFonts w:ascii="Aptos" w:hAnsi="Aptos"/>
                <w:b/>
                <w:bCs/>
              </w:rPr>
              <w:t>Description</w:t>
            </w:r>
          </w:p>
        </w:tc>
        <w:tc>
          <w:tcPr>
            <w:tcW w:w="8505" w:type="dxa"/>
          </w:tcPr>
          <w:p w14:paraId="322170E0" w14:textId="292932DF" w:rsidR="00101FBF" w:rsidRPr="00A47250" w:rsidRDefault="00C10AD9" w:rsidP="00A47250">
            <w:pPr>
              <w:pStyle w:val="Paragraphedeliste"/>
              <w:numPr>
                <w:ilvl w:val="0"/>
                <w:numId w:val="16"/>
              </w:numPr>
              <w:jc w:val="both"/>
              <w:rPr>
                <w:rFonts w:ascii="Aptos" w:hAnsi="Aptos"/>
                <w:b/>
                <w:bCs/>
              </w:rPr>
            </w:pPr>
            <w:r w:rsidRPr="00A47250">
              <w:rPr>
                <w:rFonts w:ascii="Aptos" w:hAnsi="Aptos"/>
                <w:b/>
                <w:bCs/>
              </w:rPr>
              <w:t>Identifier et mobiliser un</w:t>
            </w:r>
            <w:r w:rsidR="00A9409B" w:rsidRPr="00A47250">
              <w:rPr>
                <w:rFonts w:ascii="Aptos" w:hAnsi="Aptos"/>
                <w:b/>
                <w:bCs/>
              </w:rPr>
              <w:t xml:space="preserve"> réseau de </w:t>
            </w:r>
            <w:r w:rsidR="00C071C4" w:rsidRPr="00A47250">
              <w:rPr>
                <w:rFonts w:ascii="Aptos" w:hAnsi="Aptos"/>
                <w:b/>
                <w:bCs/>
              </w:rPr>
              <w:t>chercheurs</w:t>
            </w:r>
            <w:r w:rsidR="00A9409B" w:rsidRPr="00A47250">
              <w:rPr>
                <w:rFonts w:ascii="Aptos" w:hAnsi="Aptos"/>
                <w:b/>
                <w:bCs/>
              </w:rPr>
              <w:t xml:space="preserve"> </w:t>
            </w:r>
            <w:r w:rsidR="00C071C4" w:rsidRPr="00A47250">
              <w:rPr>
                <w:rFonts w:ascii="Aptos" w:hAnsi="Aptos"/>
                <w:b/>
                <w:bCs/>
              </w:rPr>
              <w:t>au sein de la région</w:t>
            </w:r>
          </w:p>
          <w:p w14:paraId="1F0EEDB1" w14:textId="77777777" w:rsidR="00AA2AC2" w:rsidRPr="00AA2AC2" w:rsidRDefault="00AA2AC2" w:rsidP="00AA2AC2">
            <w:pPr>
              <w:pStyle w:val="Paragraphedeliste"/>
              <w:numPr>
                <w:ilvl w:val="0"/>
                <w:numId w:val="8"/>
              </w:numPr>
              <w:ind w:left="456" w:hanging="284"/>
              <w:jc w:val="both"/>
              <w:rPr>
                <w:rFonts w:ascii="Aptos" w:hAnsi="Aptos"/>
              </w:rPr>
            </w:pPr>
            <w:r w:rsidRPr="00AA2AC2">
              <w:rPr>
                <w:rFonts w:ascii="Aptos" w:hAnsi="Aptos"/>
                <w:b/>
                <w:bCs/>
              </w:rPr>
              <w:t>Création du réseau</w:t>
            </w:r>
            <w:r w:rsidRPr="00AA2AC2">
              <w:rPr>
                <w:rFonts w:ascii="Aptos" w:hAnsi="Aptos"/>
              </w:rPr>
              <w:t xml:space="preserve"> : Identifier les acteurs régionaux de la recherche scientifique travaillant sur la thématique des pollinisateurs et du service de pollinisation. Mobiliser ce réseau pour des consultations et pour mener des projets de recherche collaboratifs.</w:t>
            </w:r>
          </w:p>
          <w:p w14:paraId="75B55689" w14:textId="1AC15ACC" w:rsidR="00916B01" w:rsidRPr="00AA2AC2" w:rsidRDefault="00AA2AC2" w:rsidP="00AA2AC2">
            <w:pPr>
              <w:pStyle w:val="Paragraphedeliste"/>
              <w:numPr>
                <w:ilvl w:val="0"/>
                <w:numId w:val="8"/>
              </w:numPr>
              <w:ind w:left="456" w:hanging="284"/>
              <w:jc w:val="both"/>
              <w:rPr>
                <w:rFonts w:ascii="Aptos" w:hAnsi="Aptos"/>
              </w:rPr>
            </w:pPr>
            <w:r w:rsidRPr="00AA2AC2">
              <w:rPr>
                <w:rFonts w:ascii="Aptos" w:hAnsi="Aptos"/>
                <w:b/>
                <w:bCs/>
              </w:rPr>
              <w:lastRenderedPageBreak/>
              <w:t>Recherche de financements</w:t>
            </w:r>
            <w:r w:rsidRPr="00AA2AC2">
              <w:rPr>
                <w:rFonts w:ascii="Aptos" w:hAnsi="Aptos"/>
              </w:rPr>
              <w:t xml:space="preserve"> : Envisager des sources de financement pour soutenir les projets de recherche à l’échelle régionale.</w:t>
            </w:r>
          </w:p>
          <w:p w14:paraId="4EA2B86C" w14:textId="77777777" w:rsidR="00AA2AC2" w:rsidRDefault="00AA2AC2" w:rsidP="00AA2AC2">
            <w:pPr>
              <w:jc w:val="both"/>
              <w:rPr>
                <w:rFonts w:ascii="Aptos" w:hAnsi="Aptos"/>
              </w:rPr>
            </w:pPr>
          </w:p>
          <w:p w14:paraId="54646725" w14:textId="4819EA5E" w:rsidR="00AA2AC2" w:rsidRPr="00A47250" w:rsidRDefault="00AA2AC2" w:rsidP="00A47250">
            <w:pPr>
              <w:pStyle w:val="Paragraphedeliste"/>
              <w:numPr>
                <w:ilvl w:val="0"/>
                <w:numId w:val="16"/>
              </w:numPr>
              <w:jc w:val="both"/>
              <w:rPr>
                <w:rFonts w:ascii="Aptos" w:hAnsi="Aptos"/>
              </w:rPr>
            </w:pPr>
            <w:r w:rsidRPr="00A47250">
              <w:rPr>
                <w:rFonts w:ascii="Aptos" w:hAnsi="Aptos"/>
                <w:b/>
                <w:bCs/>
              </w:rPr>
              <w:t>Promouvoir la connaissance du service de pollinisation</w:t>
            </w:r>
          </w:p>
          <w:p w14:paraId="668D585F" w14:textId="6DC39BB2" w:rsidR="00AA2AC2" w:rsidRPr="00E1637B" w:rsidRDefault="00AA2AC2" w:rsidP="00E1637B">
            <w:pPr>
              <w:pStyle w:val="Paragraphedeliste"/>
              <w:numPr>
                <w:ilvl w:val="0"/>
                <w:numId w:val="9"/>
              </w:numPr>
              <w:ind w:left="456" w:hanging="284"/>
              <w:jc w:val="both"/>
              <w:rPr>
                <w:rFonts w:ascii="Aptos" w:hAnsi="Aptos"/>
              </w:rPr>
            </w:pPr>
            <w:r w:rsidRPr="00E1637B">
              <w:rPr>
                <w:rFonts w:ascii="Aptos" w:hAnsi="Aptos"/>
                <w:b/>
                <w:bCs/>
              </w:rPr>
              <w:t>Définir des protocoles scientifiques</w:t>
            </w:r>
            <w:r w:rsidRPr="00E1637B">
              <w:rPr>
                <w:rFonts w:ascii="Aptos" w:hAnsi="Aptos"/>
              </w:rPr>
              <w:t xml:space="preserve"> : Développer et mettre en œuvre des protocoles standardisés pour évaluer le service de pollinisation dans la région</w:t>
            </w:r>
            <w:r w:rsidR="00E1637B" w:rsidRPr="00E1637B">
              <w:rPr>
                <w:rFonts w:ascii="Aptos" w:hAnsi="Aptos"/>
              </w:rPr>
              <w:t xml:space="preserve"> Grand Est</w:t>
            </w:r>
            <w:r w:rsidRPr="00E1637B">
              <w:rPr>
                <w:rFonts w:ascii="Aptos" w:hAnsi="Aptos"/>
              </w:rPr>
              <w:t xml:space="preserve">. </w:t>
            </w:r>
            <w:r w:rsidR="00E1637B" w:rsidRPr="00E1637B">
              <w:rPr>
                <w:rFonts w:ascii="Aptos" w:hAnsi="Aptos"/>
              </w:rPr>
              <w:t>S’a</w:t>
            </w:r>
            <w:r w:rsidRPr="00E1637B">
              <w:rPr>
                <w:rFonts w:ascii="Aptos" w:hAnsi="Aptos"/>
              </w:rPr>
              <w:t>ssurer que ces protocoles soient reproductibles et fiables.</w:t>
            </w:r>
          </w:p>
          <w:p w14:paraId="57841E02" w14:textId="77777777" w:rsidR="00AA2AC2" w:rsidRPr="00E1637B" w:rsidRDefault="00AA2AC2" w:rsidP="00E1637B">
            <w:pPr>
              <w:pStyle w:val="Paragraphedeliste"/>
              <w:numPr>
                <w:ilvl w:val="0"/>
                <w:numId w:val="9"/>
              </w:numPr>
              <w:ind w:left="456" w:hanging="284"/>
              <w:jc w:val="both"/>
              <w:rPr>
                <w:rFonts w:ascii="Aptos" w:hAnsi="Aptos"/>
              </w:rPr>
            </w:pPr>
            <w:r w:rsidRPr="00E1637B">
              <w:rPr>
                <w:rFonts w:ascii="Aptos" w:hAnsi="Aptos"/>
                <w:b/>
                <w:bCs/>
              </w:rPr>
              <w:t>Évaluer le service écosystémique de pollinisation</w:t>
            </w:r>
            <w:r w:rsidRPr="00E1637B">
              <w:rPr>
                <w:rFonts w:ascii="Aptos" w:hAnsi="Aptos"/>
              </w:rPr>
              <w:t xml:space="preserve"> : Analyser la contribution du service de pollinisation dans différentes orientations technico-économiques telles que l’arboriculture, le maraîchage, etc.</w:t>
            </w:r>
          </w:p>
          <w:p w14:paraId="6A970035" w14:textId="22EB4600" w:rsidR="00AA2AC2" w:rsidRPr="00E1637B" w:rsidRDefault="2622DE0A" w:rsidP="00E1637B">
            <w:pPr>
              <w:pStyle w:val="Paragraphedeliste"/>
              <w:numPr>
                <w:ilvl w:val="0"/>
                <w:numId w:val="9"/>
              </w:numPr>
              <w:ind w:left="456" w:hanging="284"/>
              <w:jc w:val="both"/>
              <w:rPr>
                <w:rFonts w:ascii="Aptos" w:hAnsi="Aptos"/>
              </w:rPr>
            </w:pPr>
            <w:r w:rsidRPr="2622DE0A">
              <w:rPr>
                <w:rFonts w:ascii="Aptos" w:hAnsi="Aptos"/>
                <w:b/>
                <w:bCs/>
              </w:rPr>
              <w:t>Évaluer l’impact des menaces sur le service de pollinisation</w:t>
            </w:r>
            <w:r w:rsidRPr="2622DE0A">
              <w:rPr>
                <w:rFonts w:ascii="Aptos" w:hAnsi="Aptos"/>
              </w:rPr>
              <w:t xml:space="preserve"> : Étudier l’impact des principales menaces, comme </w:t>
            </w:r>
            <w:r w:rsidR="0070239A">
              <w:rPr>
                <w:rFonts w:ascii="Aptos" w:hAnsi="Aptos"/>
              </w:rPr>
              <w:t>certaines</w:t>
            </w:r>
            <w:r w:rsidRPr="2622DE0A">
              <w:rPr>
                <w:rFonts w:ascii="Aptos" w:hAnsi="Aptos"/>
              </w:rPr>
              <w:t xml:space="preserve"> p</w:t>
            </w:r>
            <w:r w:rsidR="002F43C3">
              <w:rPr>
                <w:rFonts w:ascii="Aptos" w:hAnsi="Aptos"/>
              </w:rPr>
              <w:t>ratiques agricoles,</w:t>
            </w:r>
            <w:r w:rsidRPr="2622DE0A">
              <w:rPr>
                <w:rFonts w:ascii="Aptos" w:hAnsi="Aptos"/>
              </w:rPr>
              <w:t xml:space="preserve"> le changement climatique,</w:t>
            </w:r>
            <w:r w:rsidR="002F43C3">
              <w:rPr>
                <w:rFonts w:ascii="Aptos" w:hAnsi="Aptos"/>
              </w:rPr>
              <w:t xml:space="preserve"> le manque de ressources alimentaires</w:t>
            </w:r>
            <w:r w:rsidRPr="2622DE0A">
              <w:rPr>
                <w:rFonts w:ascii="Aptos" w:hAnsi="Aptos"/>
              </w:rPr>
              <w:t xml:space="preserve"> </w:t>
            </w:r>
            <w:r w:rsidR="002F43C3">
              <w:rPr>
                <w:rFonts w:ascii="Aptos" w:hAnsi="Aptos"/>
              </w:rPr>
              <w:t xml:space="preserve">et </w:t>
            </w:r>
            <w:r w:rsidRPr="2622DE0A">
              <w:rPr>
                <w:rFonts w:ascii="Aptos" w:hAnsi="Aptos"/>
              </w:rPr>
              <w:t>les interactions entre les abeilles domestiques et les abeilles sauvages</w:t>
            </w:r>
            <w:r w:rsidR="0070239A">
              <w:rPr>
                <w:rFonts w:ascii="Aptos" w:hAnsi="Aptos"/>
              </w:rPr>
              <w:t xml:space="preserve"> (concurrences)</w:t>
            </w:r>
            <w:r w:rsidRPr="2622DE0A">
              <w:rPr>
                <w:rFonts w:ascii="Aptos" w:hAnsi="Aptos"/>
              </w:rPr>
              <w:t>, sur le service de pollinisation. Pour éviter de travailler sur des sujets qui seront trait</w:t>
            </w:r>
            <w:r w:rsidR="0070239A">
              <w:rPr>
                <w:rFonts w:ascii="Aptos" w:hAnsi="Aptos"/>
              </w:rPr>
              <w:t>és</w:t>
            </w:r>
            <w:r w:rsidRPr="2622DE0A">
              <w:rPr>
                <w:rFonts w:ascii="Aptos" w:hAnsi="Aptos"/>
              </w:rPr>
              <w:t xml:space="preserve"> à l’échelle nationale, définir les priorités et spécificités régionales.</w:t>
            </w:r>
          </w:p>
          <w:p w14:paraId="662634C1" w14:textId="77777777" w:rsidR="00916B01" w:rsidRPr="00C5275F" w:rsidRDefault="00916B01" w:rsidP="00C5275F">
            <w:pPr>
              <w:jc w:val="both"/>
              <w:rPr>
                <w:rFonts w:ascii="Aptos" w:hAnsi="Aptos"/>
              </w:rPr>
            </w:pPr>
          </w:p>
          <w:p w14:paraId="2B2C57A5" w14:textId="54AD95C4" w:rsidR="00733FB0" w:rsidRPr="00A47250" w:rsidRDefault="00733FB0" w:rsidP="00A47250">
            <w:pPr>
              <w:pStyle w:val="Paragraphedeliste"/>
              <w:numPr>
                <w:ilvl w:val="0"/>
                <w:numId w:val="16"/>
              </w:numPr>
              <w:jc w:val="both"/>
              <w:rPr>
                <w:rFonts w:ascii="Aptos" w:hAnsi="Aptos"/>
                <w:b/>
                <w:bCs/>
              </w:rPr>
            </w:pPr>
            <w:r w:rsidRPr="00A47250">
              <w:rPr>
                <w:rFonts w:ascii="Aptos" w:hAnsi="Aptos"/>
                <w:b/>
                <w:bCs/>
              </w:rPr>
              <w:t>Utiliser et compiler les données dans le portail Entomo</w:t>
            </w:r>
            <w:r w:rsidR="00136761" w:rsidRPr="00A47250">
              <w:rPr>
                <w:rFonts w:ascii="Aptos" w:hAnsi="Aptos"/>
                <w:b/>
                <w:bCs/>
              </w:rPr>
              <w:t>logique du</w:t>
            </w:r>
            <w:r w:rsidRPr="00A47250">
              <w:rPr>
                <w:rFonts w:ascii="Aptos" w:hAnsi="Aptos"/>
                <w:b/>
                <w:bCs/>
              </w:rPr>
              <w:t xml:space="preserve"> Grand Est</w:t>
            </w:r>
          </w:p>
          <w:p w14:paraId="13F9BF80" w14:textId="195685F6" w:rsidR="00733FB0" w:rsidRPr="00733FB0" w:rsidRDefault="00733FB0" w:rsidP="00733FB0">
            <w:pPr>
              <w:pStyle w:val="Paragraphedeliste"/>
              <w:numPr>
                <w:ilvl w:val="0"/>
                <w:numId w:val="10"/>
              </w:numPr>
              <w:ind w:left="456" w:hanging="265"/>
              <w:jc w:val="both"/>
              <w:rPr>
                <w:rFonts w:ascii="Aptos" w:hAnsi="Aptos"/>
              </w:rPr>
            </w:pPr>
            <w:r w:rsidRPr="00733FB0">
              <w:rPr>
                <w:rFonts w:ascii="Aptos" w:hAnsi="Aptos"/>
              </w:rPr>
              <w:t xml:space="preserve">Utiliser la base de données régionale </w:t>
            </w:r>
            <w:r w:rsidR="00E1697F">
              <w:rPr>
                <w:rFonts w:ascii="Aptos" w:hAnsi="Aptos"/>
              </w:rPr>
              <w:t>la plus pertinente</w:t>
            </w:r>
            <w:r w:rsidRPr="00733FB0">
              <w:rPr>
                <w:rFonts w:ascii="Aptos" w:hAnsi="Aptos"/>
              </w:rPr>
              <w:t>, le portail Entomo</w:t>
            </w:r>
            <w:r w:rsidR="00136761">
              <w:rPr>
                <w:rFonts w:ascii="Aptos" w:hAnsi="Aptos"/>
              </w:rPr>
              <w:t>logique du</w:t>
            </w:r>
            <w:r w:rsidRPr="00733FB0">
              <w:rPr>
                <w:rFonts w:ascii="Aptos" w:hAnsi="Aptos"/>
              </w:rPr>
              <w:t xml:space="preserve"> Grand Est de la SLE, pour centraliser les données collectées (opportunistes et protocolées).</w:t>
            </w:r>
          </w:p>
          <w:p w14:paraId="3EDA93CD" w14:textId="77777777" w:rsidR="00733FB0" w:rsidRPr="00733FB0" w:rsidRDefault="00733FB0" w:rsidP="00733FB0">
            <w:pPr>
              <w:jc w:val="both"/>
              <w:rPr>
                <w:rFonts w:ascii="Aptos" w:hAnsi="Aptos"/>
              </w:rPr>
            </w:pPr>
          </w:p>
          <w:p w14:paraId="7CAF6A4D" w14:textId="77777777" w:rsidR="00733FB0" w:rsidRPr="00A47250" w:rsidRDefault="00733FB0" w:rsidP="00A47250">
            <w:pPr>
              <w:pStyle w:val="Paragraphedeliste"/>
              <w:numPr>
                <w:ilvl w:val="0"/>
                <w:numId w:val="16"/>
              </w:numPr>
              <w:jc w:val="both"/>
              <w:rPr>
                <w:rFonts w:ascii="Aptos" w:hAnsi="Aptos"/>
                <w:b/>
                <w:bCs/>
              </w:rPr>
            </w:pPr>
            <w:r w:rsidRPr="00A47250">
              <w:rPr>
                <w:rFonts w:ascii="Aptos" w:hAnsi="Aptos"/>
                <w:b/>
                <w:bCs/>
              </w:rPr>
              <w:t>Diffusion et utilisation des résultats</w:t>
            </w:r>
          </w:p>
          <w:p w14:paraId="744D80E0" w14:textId="4E0E032E" w:rsidR="00101FBF" w:rsidRPr="00733FB0" w:rsidRDefault="3028441A" w:rsidP="00733FB0">
            <w:pPr>
              <w:pStyle w:val="Paragraphedeliste"/>
              <w:numPr>
                <w:ilvl w:val="0"/>
                <w:numId w:val="10"/>
              </w:numPr>
              <w:ind w:left="456" w:hanging="284"/>
              <w:jc w:val="both"/>
              <w:rPr>
                <w:rFonts w:ascii="Aptos" w:hAnsi="Aptos"/>
              </w:rPr>
            </w:pPr>
            <w:r w:rsidRPr="3028441A">
              <w:rPr>
                <w:rFonts w:ascii="Aptos" w:hAnsi="Aptos"/>
              </w:rPr>
              <w:t>Partager les résultats des recherches et des analyses avec les gestionnaires des différents espaces (les agriculteurs, les collectivités…), les acteurs socio-économiques et le public pour sensibiliser et orienter les actions de conservation.</w:t>
            </w:r>
          </w:p>
        </w:tc>
      </w:tr>
      <w:tr w:rsidR="00FC60B1" w:rsidRPr="00C10AD9" w14:paraId="48A45BF2" w14:textId="77777777" w:rsidTr="3028441A">
        <w:tc>
          <w:tcPr>
            <w:tcW w:w="1560" w:type="dxa"/>
            <w:vAlign w:val="center"/>
          </w:tcPr>
          <w:p w14:paraId="1CA951B3" w14:textId="2291D369" w:rsidR="00FC60B1" w:rsidRPr="00C10AD9" w:rsidRDefault="00FC60B1" w:rsidP="0097344E">
            <w:pPr>
              <w:jc w:val="center"/>
              <w:rPr>
                <w:rFonts w:ascii="Aptos" w:hAnsi="Aptos"/>
                <w:b/>
                <w:bCs/>
              </w:rPr>
            </w:pPr>
            <w:r>
              <w:rPr>
                <w:rFonts w:ascii="Aptos" w:hAnsi="Aptos"/>
                <w:b/>
                <w:bCs/>
              </w:rPr>
              <w:lastRenderedPageBreak/>
              <w:t>Priorité</w:t>
            </w:r>
            <w:r w:rsidR="00C178D4">
              <w:rPr>
                <w:rFonts w:ascii="Aptos" w:hAnsi="Aptos"/>
                <w:b/>
                <w:bCs/>
              </w:rPr>
              <w:t>s d’études des différents taxons</w:t>
            </w:r>
          </w:p>
        </w:tc>
        <w:tc>
          <w:tcPr>
            <w:tcW w:w="8505" w:type="dxa"/>
          </w:tcPr>
          <w:p w14:paraId="170DD78F" w14:textId="77777777" w:rsidR="00333866" w:rsidRPr="0007188E" w:rsidRDefault="00333866" w:rsidP="00333866">
            <w:pPr>
              <w:jc w:val="both"/>
              <w:rPr>
                <w:rFonts w:ascii="Aptos" w:hAnsi="Aptos"/>
              </w:rPr>
            </w:pPr>
            <w:r w:rsidRPr="0007188E">
              <w:rPr>
                <w:rFonts w:ascii="Aptos" w:hAnsi="Aptos"/>
                <w:b/>
                <w:bCs/>
              </w:rPr>
              <w:t>Priorité 1</w:t>
            </w:r>
            <w:r w:rsidRPr="0007188E">
              <w:rPr>
                <w:rFonts w:ascii="Aptos" w:hAnsi="Aptos"/>
              </w:rPr>
              <w:t> : abeilles sauvages (Hyménoptères) et syrphes (Diptères).</w:t>
            </w:r>
          </w:p>
          <w:p w14:paraId="09134E30" w14:textId="77777777" w:rsidR="00333866" w:rsidRPr="0007188E" w:rsidRDefault="00333866" w:rsidP="00333866">
            <w:pPr>
              <w:jc w:val="both"/>
              <w:rPr>
                <w:rFonts w:ascii="Aptos" w:hAnsi="Aptos"/>
              </w:rPr>
            </w:pPr>
            <w:r w:rsidRPr="0007188E">
              <w:rPr>
                <w:rFonts w:ascii="Aptos" w:hAnsi="Aptos"/>
                <w:b/>
                <w:bCs/>
              </w:rPr>
              <w:t>Priorité 2</w:t>
            </w:r>
            <w:r w:rsidRPr="0007188E">
              <w:rPr>
                <w:rFonts w:ascii="Aptos" w:hAnsi="Aptos"/>
              </w:rPr>
              <w:t> : lépidoptères, coléoptères et les autres hyménoptères (Guêpes, fourmis) et diptères.</w:t>
            </w:r>
          </w:p>
          <w:p w14:paraId="26AFFDB2" w14:textId="44AB349F" w:rsidR="00FC60B1" w:rsidRPr="00733FB0" w:rsidRDefault="00333866" w:rsidP="00333866">
            <w:pPr>
              <w:pStyle w:val="Default"/>
              <w:rPr>
                <w:b/>
                <w:bCs/>
                <w:sz w:val="22"/>
                <w:szCs w:val="22"/>
              </w:rPr>
            </w:pPr>
            <w:r w:rsidRPr="0007188E">
              <w:rPr>
                <w:b/>
                <w:bCs/>
                <w:sz w:val="22"/>
                <w:szCs w:val="22"/>
              </w:rPr>
              <w:t>Priorité 3</w:t>
            </w:r>
            <w:r w:rsidRPr="0007188E">
              <w:rPr>
                <w:sz w:val="22"/>
                <w:szCs w:val="22"/>
              </w:rPr>
              <w:t> : hémiptères (Punaises), névroptères (ascalaphes) et les araignées.</w:t>
            </w:r>
          </w:p>
        </w:tc>
      </w:tr>
      <w:tr w:rsidR="00101FBF" w:rsidRPr="00C10AD9" w14:paraId="01B45733" w14:textId="77777777" w:rsidTr="3028441A">
        <w:tc>
          <w:tcPr>
            <w:tcW w:w="1560" w:type="dxa"/>
            <w:vAlign w:val="center"/>
          </w:tcPr>
          <w:p w14:paraId="6A524A84" w14:textId="77777777" w:rsidR="00101FBF" w:rsidRPr="00C10AD9" w:rsidRDefault="00101FBF" w:rsidP="0097344E">
            <w:pPr>
              <w:jc w:val="center"/>
              <w:rPr>
                <w:rFonts w:ascii="Aptos" w:hAnsi="Aptos"/>
                <w:b/>
                <w:bCs/>
              </w:rPr>
            </w:pPr>
            <w:r w:rsidRPr="00C10AD9">
              <w:rPr>
                <w:rFonts w:ascii="Aptos" w:hAnsi="Aptos"/>
                <w:b/>
                <w:bCs/>
              </w:rPr>
              <w:t>Action(s) associée(s)</w:t>
            </w:r>
          </w:p>
        </w:tc>
        <w:tc>
          <w:tcPr>
            <w:tcW w:w="8505" w:type="dxa"/>
          </w:tcPr>
          <w:p w14:paraId="61DC36C1" w14:textId="6C0B75DF" w:rsidR="00101FBF" w:rsidRDefault="00C10AD9" w:rsidP="00733FB0">
            <w:pPr>
              <w:pStyle w:val="Default"/>
              <w:numPr>
                <w:ilvl w:val="0"/>
                <w:numId w:val="11"/>
              </w:numPr>
              <w:ind w:left="456" w:hanging="284"/>
              <w:rPr>
                <w:sz w:val="22"/>
                <w:szCs w:val="22"/>
              </w:rPr>
            </w:pPr>
            <w:r w:rsidRPr="00733FB0">
              <w:rPr>
                <w:b/>
                <w:bCs/>
                <w:sz w:val="22"/>
                <w:szCs w:val="22"/>
              </w:rPr>
              <w:t>Axe 1 - Action 4</w:t>
            </w:r>
            <w:r w:rsidR="00A47250">
              <w:rPr>
                <w:b/>
                <w:bCs/>
                <w:sz w:val="22"/>
                <w:szCs w:val="22"/>
              </w:rPr>
              <w:t xml:space="preserve"> </w:t>
            </w:r>
            <w:r w:rsidR="00A47250" w:rsidRPr="00A47250">
              <w:rPr>
                <w:sz w:val="22"/>
                <w:szCs w:val="22"/>
              </w:rPr>
              <w:t>(traité au niveau national).</w:t>
            </w:r>
          </w:p>
          <w:p w14:paraId="18C0C5C6" w14:textId="0EB5E626" w:rsidR="00FC7192" w:rsidRDefault="00FC7192" w:rsidP="00733FB0">
            <w:pPr>
              <w:pStyle w:val="Default"/>
              <w:numPr>
                <w:ilvl w:val="0"/>
                <w:numId w:val="11"/>
              </w:numPr>
              <w:ind w:left="456" w:hanging="284"/>
              <w:rPr>
                <w:sz w:val="22"/>
                <w:szCs w:val="22"/>
              </w:rPr>
            </w:pPr>
            <w:r>
              <w:rPr>
                <w:b/>
                <w:bCs/>
                <w:sz w:val="22"/>
                <w:szCs w:val="22"/>
              </w:rPr>
              <w:t xml:space="preserve">Axe 3 </w:t>
            </w:r>
            <w:r w:rsidRPr="00A47250">
              <w:rPr>
                <w:b/>
                <w:bCs/>
                <w:sz w:val="22"/>
                <w:szCs w:val="22"/>
              </w:rPr>
              <w:t>– Actions 1.a et 1.b</w:t>
            </w:r>
            <w:r w:rsidR="00A47250" w:rsidRPr="00A47250">
              <w:rPr>
                <w:b/>
                <w:bCs/>
                <w:sz w:val="22"/>
                <w:szCs w:val="22"/>
              </w:rPr>
              <w:t>.</w:t>
            </w:r>
          </w:p>
          <w:p w14:paraId="0F8E84C5" w14:textId="5702442E" w:rsidR="005664DE" w:rsidRPr="00A47250" w:rsidRDefault="005664DE" w:rsidP="00733FB0">
            <w:pPr>
              <w:pStyle w:val="Default"/>
              <w:numPr>
                <w:ilvl w:val="0"/>
                <w:numId w:val="11"/>
              </w:numPr>
              <w:ind w:left="456" w:hanging="284"/>
              <w:rPr>
                <w:sz w:val="22"/>
                <w:szCs w:val="22"/>
              </w:rPr>
            </w:pPr>
            <w:r w:rsidRPr="00A47250">
              <w:rPr>
                <w:b/>
                <w:bCs/>
                <w:sz w:val="22"/>
                <w:szCs w:val="22"/>
              </w:rPr>
              <w:t xml:space="preserve">Axe 4 – Action </w:t>
            </w:r>
            <w:r w:rsidR="00A47250" w:rsidRPr="00A47250">
              <w:rPr>
                <w:b/>
                <w:bCs/>
                <w:sz w:val="22"/>
                <w:szCs w:val="22"/>
              </w:rPr>
              <w:t>5.</w:t>
            </w:r>
          </w:p>
          <w:p w14:paraId="3FB0EE57" w14:textId="754B8BBF" w:rsidR="00FC7192" w:rsidRPr="00C10AD9" w:rsidRDefault="00FC7192" w:rsidP="00733FB0">
            <w:pPr>
              <w:pStyle w:val="Default"/>
              <w:numPr>
                <w:ilvl w:val="0"/>
                <w:numId w:val="11"/>
              </w:numPr>
              <w:ind w:left="456" w:hanging="284"/>
              <w:rPr>
                <w:sz w:val="22"/>
                <w:szCs w:val="22"/>
              </w:rPr>
            </w:pPr>
            <w:r>
              <w:rPr>
                <w:b/>
                <w:bCs/>
                <w:sz w:val="22"/>
                <w:szCs w:val="22"/>
              </w:rPr>
              <w:t>Axe 6</w:t>
            </w:r>
            <w:r w:rsidR="00A47250">
              <w:rPr>
                <w:b/>
                <w:bCs/>
                <w:sz w:val="22"/>
                <w:szCs w:val="22"/>
              </w:rPr>
              <w:t xml:space="preserve"> – Actions 1 et 2.</w:t>
            </w:r>
          </w:p>
        </w:tc>
      </w:tr>
      <w:tr w:rsidR="00101FBF" w:rsidRPr="00C10AD9" w14:paraId="7298BBBE" w14:textId="77777777" w:rsidTr="3028441A">
        <w:tc>
          <w:tcPr>
            <w:tcW w:w="1560" w:type="dxa"/>
            <w:vAlign w:val="center"/>
          </w:tcPr>
          <w:p w14:paraId="7E81FFF6" w14:textId="77777777" w:rsidR="00101FBF" w:rsidRPr="00C10AD9" w:rsidRDefault="00101FBF" w:rsidP="0097344E">
            <w:pPr>
              <w:jc w:val="center"/>
              <w:rPr>
                <w:rFonts w:ascii="Aptos" w:hAnsi="Aptos"/>
                <w:b/>
                <w:bCs/>
              </w:rPr>
            </w:pPr>
            <w:r w:rsidRPr="00C10AD9">
              <w:rPr>
                <w:rFonts w:ascii="Aptos" w:hAnsi="Aptos"/>
                <w:b/>
                <w:bCs/>
              </w:rPr>
              <w:t>Indicateurs de résultats</w:t>
            </w:r>
          </w:p>
        </w:tc>
        <w:tc>
          <w:tcPr>
            <w:tcW w:w="8505" w:type="dxa"/>
          </w:tcPr>
          <w:p w14:paraId="4BCED194" w14:textId="505AA543" w:rsidR="00916B01" w:rsidRPr="00733FB0" w:rsidRDefault="00916B01" w:rsidP="00733FB0">
            <w:pPr>
              <w:pStyle w:val="Paragraphedeliste"/>
              <w:numPr>
                <w:ilvl w:val="0"/>
                <w:numId w:val="12"/>
              </w:numPr>
              <w:ind w:left="456" w:hanging="284"/>
              <w:rPr>
                <w:rFonts w:ascii="Aptos" w:hAnsi="Aptos"/>
              </w:rPr>
            </w:pPr>
            <w:r w:rsidRPr="00733FB0">
              <w:rPr>
                <w:rFonts w:ascii="Aptos" w:hAnsi="Aptos"/>
              </w:rPr>
              <w:t>Nombre de chercheurs identifiés et contactés</w:t>
            </w:r>
            <w:r w:rsidR="00596A06">
              <w:rPr>
                <w:rFonts w:ascii="Aptos" w:hAnsi="Aptos"/>
              </w:rPr>
              <w:t>.</w:t>
            </w:r>
          </w:p>
          <w:p w14:paraId="731840A4" w14:textId="5E1B4449" w:rsidR="00916B01" w:rsidRPr="00733FB0" w:rsidRDefault="00916B01" w:rsidP="00733FB0">
            <w:pPr>
              <w:pStyle w:val="Paragraphedeliste"/>
              <w:numPr>
                <w:ilvl w:val="0"/>
                <w:numId w:val="12"/>
              </w:numPr>
              <w:ind w:left="456" w:hanging="284"/>
              <w:rPr>
                <w:rFonts w:ascii="Aptos" w:hAnsi="Aptos"/>
              </w:rPr>
            </w:pPr>
            <w:r w:rsidRPr="00733FB0">
              <w:rPr>
                <w:rFonts w:ascii="Aptos" w:hAnsi="Aptos"/>
              </w:rPr>
              <w:t xml:space="preserve">Nombre de protocoles d’évaluation </w:t>
            </w:r>
            <w:r w:rsidR="00943B91" w:rsidRPr="00733FB0">
              <w:rPr>
                <w:rFonts w:ascii="Aptos" w:hAnsi="Aptos"/>
              </w:rPr>
              <w:t xml:space="preserve">définis </w:t>
            </w:r>
            <w:r w:rsidR="00943B91">
              <w:rPr>
                <w:rFonts w:ascii="Aptos" w:hAnsi="Aptos"/>
              </w:rPr>
              <w:t>pour le</w:t>
            </w:r>
            <w:r w:rsidRPr="00733FB0">
              <w:rPr>
                <w:rFonts w:ascii="Aptos" w:hAnsi="Aptos"/>
              </w:rPr>
              <w:t xml:space="preserve"> service écosystémique de pollinisation</w:t>
            </w:r>
            <w:r w:rsidR="00943B91">
              <w:rPr>
                <w:rFonts w:ascii="Aptos" w:hAnsi="Aptos"/>
              </w:rPr>
              <w:t>.</w:t>
            </w:r>
          </w:p>
          <w:p w14:paraId="07F92E41" w14:textId="51764E8F" w:rsidR="00916B01" w:rsidRPr="00FB0774" w:rsidRDefault="3028441A" w:rsidP="00733FB0">
            <w:pPr>
              <w:pStyle w:val="Paragraphedeliste"/>
              <w:numPr>
                <w:ilvl w:val="0"/>
                <w:numId w:val="12"/>
              </w:numPr>
              <w:ind w:left="456" w:hanging="284"/>
              <w:rPr>
                <w:rFonts w:ascii="Aptos" w:hAnsi="Aptos"/>
              </w:rPr>
            </w:pPr>
            <w:r w:rsidRPr="00FB0774">
              <w:rPr>
                <w:rFonts w:ascii="Aptos" w:hAnsi="Aptos"/>
              </w:rPr>
              <w:t>Nombre d’</w:t>
            </w:r>
            <w:r w:rsidR="00C34B5B" w:rsidRPr="00FB0774">
              <w:rPr>
                <w:rFonts w:ascii="Aptos" w:hAnsi="Aptos"/>
              </w:rPr>
              <w:t>OTEX</w:t>
            </w:r>
            <w:r w:rsidR="00FB0774" w:rsidRPr="00FB0774">
              <w:rPr>
                <w:rFonts w:ascii="Aptos" w:hAnsi="Aptos"/>
              </w:rPr>
              <w:t xml:space="preserve"> (typologies d’exploitations).</w:t>
            </w:r>
          </w:p>
          <w:p w14:paraId="5C4588AA" w14:textId="0FA37884" w:rsidR="00101FBF" w:rsidRPr="00733FB0" w:rsidRDefault="00916B01" w:rsidP="00733FB0">
            <w:pPr>
              <w:pStyle w:val="Paragraphedeliste"/>
              <w:numPr>
                <w:ilvl w:val="0"/>
                <w:numId w:val="12"/>
              </w:numPr>
              <w:ind w:left="456" w:hanging="284"/>
              <w:rPr>
                <w:rFonts w:ascii="Aptos" w:hAnsi="Aptos"/>
              </w:rPr>
            </w:pPr>
            <w:r w:rsidRPr="00733FB0">
              <w:rPr>
                <w:rFonts w:ascii="Aptos" w:hAnsi="Aptos"/>
              </w:rPr>
              <w:t>Nombre d’articles de recherche publié</w:t>
            </w:r>
            <w:r w:rsidR="00733FB0">
              <w:rPr>
                <w:rFonts w:ascii="Aptos" w:hAnsi="Aptos"/>
              </w:rPr>
              <w:t>s</w:t>
            </w:r>
            <w:r w:rsidR="001406D3">
              <w:rPr>
                <w:rFonts w:ascii="Aptos" w:hAnsi="Aptos"/>
              </w:rPr>
              <w:t>.</w:t>
            </w:r>
            <w:r w:rsidRPr="00733FB0">
              <w:rPr>
                <w:rFonts w:ascii="Aptos" w:hAnsi="Aptos"/>
              </w:rPr>
              <w:t xml:space="preserve"> </w:t>
            </w:r>
          </w:p>
        </w:tc>
      </w:tr>
      <w:tr w:rsidR="00101FBF" w:rsidRPr="00C10AD9" w14:paraId="4761B459" w14:textId="77777777" w:rsidTr="3028441A">
        <w:tc>
          <w:tcPr>
            <w:tcW w:w="1560" w:type="dxa"/>
            <w:vAlign w:val="center"/>
          </w:tcPr>
          <w:p w14:paraId="68676DFE" w14:textId="77777777" w:rsidR="00101FBF" w:rsidRPr="00C10AD9" w:rsidRDefault="00101FBF" w:rsidP="0097344E">
            <w:pPr>
              <w:jc w:val="center"/>
              <w:rPr>
                <w:rFonts w:ascii="Aptos" w:hAnsi="Aptos"/>
                <w:b/>
                <w:bCs/>
              </w:rPr>
            </w:pPr>
            <w:r w:rsidRPr="00C10AD9">
              <w:rPr>
                <w:rFonts w:ascii="Aptos" w:hAnsi="Aptos"/>
                <w:b/>
                <w:bCs/>
              </w:rPr>
              <w:t>Echelle(s) de travail</w:t>
            </w:r>
          </w:p>
        </w:tc>
        <w:tc>
          <w:tcPr>
            <w:tcW w:w="8505" w:type="dxa"/>
            <w:vAlign w:val="center"/>
          </w:tcPr>
          <w:p w14:paraId="376C0DFF" w14:textId="023BB01B" w:rsidR="00101FBF" w:rsidRPr="00C10AD9" w:rsidRDefault="006229A8" w:rsidP="00733FB0">
            <w:pPr>
              <w:rPr>
                <w:rFonts w:ascii="Aptos" w:hAnsi="Aptos"/>
              </w:rPr>
            </w:pPr>
            <w:r w:rsidRPr="00C10AD9">
              <w:rPr>
                <w:rFonts w:ascii="Aptos" w:hAnsi="Aptos"/>
              </w:rPr>
              <w:t>Région Grand Est</w:t>
            </w:r>
          </w:p>
        </w:tc>
      </w:tr>
      <w:tr w:rsidR="00101FBF" w:rsidRPr="00C10AD9" w14:paraId="4E4CA33E" w14:textId="77777777" w:rsidTr="3028441A">
        <w:tc>
          <w:tcPr>
            <w:tcW w:w="1560" w:type="dxa"/>
            <w:vAlign w:val="center"/>
          </w:tcPr>
          <w:p w14:paraId="0A508377" w14:textId="77777777" w:rsidR="00101FBF" w:rsidRPr="00C10AD9" w:rsidRDefault="00101FBF" w:rsidP="0097344E">
            <w:pPr>
              <w:jc w:val="center"/>
              <w:rPr>
                <w:rFonts w:ascii="Aptos" w:hAnsi="Aptos"/>
                <w:b/>
                <w:bCs/>
              </w:rPr>
            </w:pPr>
            <w:r w:rsidRPr="00C10AD9">
              <w:rPr>
                <w:rFonts w:ascii="Aptos" w:hAnsi="Aptos"/>
                <w:b/>
                <w:bCs/>
              </w:rPr>
              <w:t>Evaluation financière</w:t>
            </w:r>
          </w:p>
        </w:tc>
        <w:tc>
          <w:tcPr>
            <w:tcW w:w="8505" w:type="dxa"/>
            <w:vAlign w:val="center"/>
          </w:tcPr>
          <w:p w14:paraId="45FB21CE" w14:textId="11B781B3" w:rsidR="00101FBF" w:rsidRPr="00C10AD9" w:rsidRDefault="001C366D" w:rsidP="00733FB0">
            <w:pPr>
              <w:rPr>
                <w:rFonts w:ascii="Aptos" w:hAnsi="Aptos"/>
              </w:rPr>
            </w:pPr>
            <w:r>
              <w:rPr>
                <w:rFonts w:ascii="Aptos" w:hAnsi="Aptos"/>
              </w:rPr>
              <w:t>Exemple : réalisation d’une thèse (coût à définir)</w:t>
            </w:r>
          </w:p>
        </w:tc>
      </w:tr>
      <w:tr w:rsidR="00101FBF" w:rsidRPr="00C10AD9" w14:paraId="4FA12709" w14:textId="77777777" w:rsidTr="3028441A">
        <w:tc>
          <w:tcPr>
            <w:tcW w:w="1560" w:type="dxa"/>
            <w:vAlign w:val="center"/>
          </w:tcPr>
          <w:p w14:paraId="6D1F5F55" w14:textId="77777777" w:rsidR="00101FBF" w:rsidRPr="00C10AD9" w:rsidRDefault="00101FBF" w:rsidP="0097344E">
            <w:pPr>
              <w:jc w:val="center"/>
              <w:rPr>
                <w:rFonts w:ascii="Aptos" w:hAnsi="Aptos"/>
                <w:b/>
                <w:bCs/>
              </w:rPr>
            </w:pPr>
            <w:r w:rsidRPr="00C10AD9">
              <w:rPr>
                <w:rFonts w:ascii="Aptos" w:hAnsi="Aptos"/>
                <w:b/>
                <w:bCs/>
              </w:rPr>
              <w:t>Pilote(s) de l’action</w:t>
            </w:r>
          </w:p>
        </w:tc>
        <w:tc>
          <w:tcPr>
            <w:tcW w:w="8505" w:type="dxa"/>
            <w:vAlign w:val="center"/>
          </w:tcPr>
          <w:p w14:paraId="79DDDE2C" w14:textId="13DE1CE3" w:rsidR="00101FBF" w:rsidRPr="00C10AD9" w:rsidRDefault="00101FBF" w:rsidP="00733FB0">
            <w:pPr>
              <w:rPr>
                <w:rFonts w:ascii="Aptos" w:hAnsi="Aptos"/>
              </w:rPr>
            </w:pPr>
            <w:r w:rsidRPr="00C10AD9">
              <w:rPr>
                <w:rFonts w:ascii="Aptos" w:hAnsi="Aptos"/>
              </w:rPr>
              <w:t>SLE</w:t>
            </w:r>
            <w:r w:rsidR="002A609B">
              <w:rPr>
                <w:rFonts w:ascii="Aptos" w:hAnsi="Aptos"/>
              </w:rPr>
              <w:t>, INRAE</w:t>
            </w:r>
          </w:p>
        </w:tc>
      </w:tr>
      <w:tr w:rsidR="00101FBF" w:rsidRPr="00C10AD9" w14:paraId="3C65E0BE" w14:textId="77777777" w:rsidTr="3028441A">
        <w:tc>
          <w:tcPr>
            <w:tcW w:w="1560" w:type="dxa"/>
            <w:vAlign w:val="center"/>
          </w:tcPr>
          <w:p w14:paraId="74635138" w14:textId="77777777" w:rsidR="00101FBF" w:rsidRPr="00C10AD9" w:rsidRDefault="00101FBF" w:rsidP="0097344E">
            <w:pPr>
              <w:jc w:val="center"/>
              <w:rPr>
                <w:rFonts w:ascii="Aptos" w:hAnsi="Aptos"/>
                <w:b/>
                <w:bCs/>
              </w:rPr>
            </w:pPr>
            <w:r w:rsidRPr="00C10AD9">
              <w:rPr>
                <w:rFonts w:ascii="Aptos" w:hAnsi="Aptos"/>
                <w:b/>
                <w:bCs/>
              </w:rPr>
              <w:t>Partenaires potentiels</w:t>
            </w:r>
          </w:p>
        </w:tc>
        <w:tc>
          <w:tcPr>
            <w:tcW w:w="8505" w:type="dxa"/>
          </w:tcPr>
          <w:p w14:paraId="55DA8D26" w14:textId="00A38F65" w:rsidR="00101FBF" w:rsidRPr="00CF1207" w:rsidRDefault="00F305CF" w:rsidP="00CF1207">
            <w:pPr>
              <w:rPr>
                <w:rFonts w:ascii="Aptos" w:hAnsi="Aptos"/>
              </w:rPr>
            </w:pPr>
            <w:r>
              <w:rPr>
                <w:rFonts w:ascii="Aptos" w:hAnsi="Aptos"/>
              </w:rPr>
              <w:t xml:space="preserve">CENs, </w:t>
            </w:r>
            <w:r w:rsidR="006229A8" w:rsidRPr="00CF1207">
              <w:rPr>
                <w:rFonts w:ascii="Aptos" w:hAnsi="Aptos"/>
              </w:rPr>
              <w:t>Université de Lorraine (LAE</w:t>
            </w:r>
            <w:r w:rsidR="002A609B" w:rsidRPr="00CF1207">
              <w:rPr>
                <w:rFonts w:ascii="Aptos" w:hAnsi="Aptos"/>
              </w:rPr>
              <w:t>)</w:t>
            </w:r>
            <w:r w:rsidR="002A609B">
              <w:rPr>
                <w:rFonts w:ascii="Aptos" w:hAnsi="Aptos"/>
              </w:rPr>
              <w:t>,</w:t>
            </w:r>
            <w:r w:rsidR="00EC0CDC">
              <w:rPr>
                <w:rFonts w:ascii="Aptos" w:hAnsi="Aptos"/>
              </w:rPr>
              <w:t xml:space="preserve"> Université de Strasbourg,</w:t>
            </w:r>
            <w:r w:rsidR="003519FA">
              <w:rPr>
                <w:rFonts w:ascii="Aptos" w:hAnsi="Aptos"/>
              </w:rPr>
              <w:t xml:space="preserve"> Université de Mon</w:t>
            </w:r>
            <w:r w:rsidR="006D48F4">
              <w:rPr>
                <w:rFonts w:ascii="Aptos" w:hAnsi="Aptos"/>
              </w:rPr>
              <w:t>s</w:t>
            </w:r>
            <w:r w:rsidR="003519FA">
              <w:rPr>
                <w:rFonts w:ascii="Aptos" w:hAnsi="Aptos"/>
              </w:rPr>
              <w:t>,</w:t>
            </w:r>
            <w:r w:rsidR="002A609B">
              <w:rPr>
                <w:rFonts w:ascii="Aptos" w:hAnsi="Aptos"/>
              </w:rPr>
              <w:t xml:space="preserve"> INRAE</w:t>
            </w:r>
            <w:r w:rsidR="002A51BA">
              <w:rPr>
                <w:rFonts w:ascii="Aptos" w:hAnsi="Aptos"/>
              </w:rPr>
              <w:t xml:space="preserve">, </w:t>
            </w:r>
            <w:r w:rsidR="0076743F">
              <w:rPr>
                <w:rFonts w:ascii="Aptos" w:hAnsi="Aptos"/>
              </w:rPr>
              <w:t xml:space="preserve">Réseau écophyto, </w:t>
            </w:r>
            <w:r w:rsidR="00936413">
              <w:rPr>
                <w:rFonts w:ascii="Aptos" w:hAnsi="Aptos"/>
              </w:rPr>
              <w:t xml:space="preserve">OFB, DREAL, </w:t>
            </w:r>
            <w:r w:rsidR="00C10AD9" w:rsidRPr="00CF1207">
              <w:rPr>
                <w:rFonts w:ascii="Aptos" w:hAnsi="Aptos"/>
              </w:rPr>
              <w:t>GDR Pollinéco</w:t>
            </w:r>
            <w:r w:rsidR="00CF1207">
              <w:rPr>
                <w:rFonts w:ascii="Aptos" w:hAnsi="Aptos"/>
              </w:rPr>
              <w:t xml:space="preserve">, </w:t>
            </w:r>
            <w:r w:rsidR="00C10AD9" w:rsidRPr="00CF1207">
              <w:rPr>
                <w:rFonts w:ascii="Aptos" w:hAnsi="Aptos"/>
              </w:rPr>
              <w:t>OPIE</w:t>
            </w:r>
            <w:r w:rsidR="00CF1207">
              <w:rPr>
                <w:rFonts w:ascii="Aptos" w:hAnsi="Aptos"/>
              </w:rPr>
              <w:t>,</w:t>
            </w:r>
            <w:r w:rsidR="00936413">
              <w:rPr>
                <w:rFonts w:ascii="Aptos" w:hAnsi="Aptos"/>
              </w:rPr>
              <w:t xml:space="preserve"> </w:t>
            </w:r>
            <w:r w:rsidR="00C10AD9" w:rsidRPr="00CF1207">
              <w:rPr>
                <w:rFonts w:ascii="Aptos" w:hAnsi="Aptos"/>
              </w:rPr>
              <w:t>Arthropologia</w:t>
            </w:r>
            <w:r w:rsidR="00CF1207">
              <w:rPr>
                <w:rFonts w:ascii="Aptos" w:hAnsi="Aptos"/>
              </w:rPr>
              <w:t xml:space="preserve">, </w:t>
            </w:r>
            <w:r w:rsidR="00F247D6">
              <w:rPr>
                <w:rFonts w:ascii="Aptos" w:hAnsi="Aptos"/>
              </w:rPr>
              <w:t xml:space="preserve">FREDON, RBA, </w:t>
            </w:r>
            <w:r w:rsidR="00FA0AE7">
              <w:rPr>
                <w:rFonts w:ascii="Aptos" w:hAnsi="Aptos"/>
              </w:rPr>
              <w:t>Re</w:t>
            </w:r>
            <w:r w:rsidR="00453F36">
              <w:rPr>
                <w:rFonts w:ascii="Aptos" w:hAnsi="Aptos"/>
              </w:rPr>
              <w:t>na</w:t>
            </w:r>
            <w:r w:rsidR="00FA0AE7">
              <w:rPr>
                <w:rFonts w:ascii="Aptos" w:hAnsi="Aptos"/>
              </w:rPr>
              <w:t xml:space="preserve">rd, </w:t>
            </w:r>
            <w:r w:rsidR="00453F36">
              <w:rPr>
                <w:rFonts w:ascii="Aptos" w:hAnsi="Aptos"/>
              </w:rPr>
              <w:t xml:space="preserve">Neomys, </w:t>
            </w:r>
            <w:r w:rsidR="00074119">
              <w:rPr>
                <w:rFonts w:ascii="Aptos" w:hAnsi="Aptos"/>
              </w:rPr>
              <w:t xml:space="preserve">CBN, </w:t>
            </w:r>
            <w:r w:rsidR="00101FBF" w:rsidRPr="00CF1207">
              <w:rPr>
                <w:rFonts w:ascii="Aptos" w:hAnsi="Aptos"/>
              </w:rPr>
              <w:t>EFESE</w:t>
            </w:r>
            <w:r w:rsidR="00F247D6">
              <w:rPr>
                <w:rFonts w:ascii="Aptos" w:hAnsi="Aptos"/>
              </w:rPr>
              <w:t>, OA</w:t>
            </w:r>
            <w:r w:rsidR="00CF1207">
              <w:rPr>
                <w:rFonts w:ascii="Aptos" w:hAnsi="Aptos"/>
              </w:rPr>
              <w:t xml:space="preserve">, </w:t>
            </w:r>
            <w:r w:rsidR="00101FBF" w:rsidRPr="00CF1207">
              <w:rPr>
                <w:rFonts w:ascii="Aptos" w:hAnsi="Aptos"/>
              </w:rPr>
              <w:t xml:space="preserve">Groupe syrphes des réserves de </w:t>
            </w:r>
            <w:r w:rsidR="006B454E">
              <w:rPr>
                <w:rFonts w:ascii="Aptos" w:hAnsi="Aptos"/>
              </w:rPr>
              <w:t>France, instituts techniques agricoles</w:t>
            </w:r>
          </w:p>
        </w:tc>
      </w:tr>
    </w:tbl>
    <w:p w14:paraId="17D0E2BF" w14:textId="77777777" w:rsidR="00101FBF" w:rsidRPr="00C10AD9" w:rsidRDefault="00101FBF" w:rsidP="0024726E">
      <w:pPr>
        <w:rPr>
          <w:rFonts w:ascii="Aptos" w:hAnsi="Aptos"/>
        </w:rPr>
      </w:pPr>
    </w:p>
    <w:sectPr w:rsidR="00101FBF" w:rsidRPr="00C10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2D9"/>
    <w:multiLevelType w:val="hybridMultilevel"/>
    <w:tmpl w:val="4A840AC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D366C"/>
    <w:multiLevelType w:val="hybridMultilevel"/>
    <w:tmpl w:val="69A6A29A"/>
    <w:lvl w:ilvl="0" w:tplc="3F16C11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26157B"/>
    <w:multiLevelType w:val="hybridMultilevel"/>
    <w:tmpl w:val="CAA484FC"/>
    <w:lvl w:ilvl="0" w:tplc="C302AB4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9445A6"/>
    <w:multiLevelType w:val="hybridMultilevel"/>
    <w:tmpl w:val="53D6A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2D67F7"/>
    <w:multiLevelType w:val="hybridMultilevel"/>
    <w:tmpl w:val="10886F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E0C418D"/>
    <w:multiLevelType w:val="multilevel"/>
    <w:tmpl w:val="2C02C0C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2934F5"/>
    <w:multiLevelType w:val="hybridMultilevel"/>
    <w:tmpl w:val="18CA688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562CED"/>
    <w:multiLevelType w:val="multilevel"/>
    <w:tmpl w:val="7884F24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4712FE"/>
    <w:multiLevelType w:val="multilevel"/>
    <w:tmpl w:val="7E12DD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D57C38"/>
    <w:multiLevelType w:val="hybridMultilevel"/>
    <w:tmpl w:val="62F4A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DC53E6"/>
    <w:multiLevelType w:val="hybridMultilevel"/>
    <w:tmpl w:val="877E5B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C04F3F"/>
    <w:multiLevelType w:val="hybridMultilevel"/>
    <w:tmpl w:val="C0260B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9F28DF"/>
    <w:multiLevelType w:val="hybridMultilevel"/>
    <w:tmpl w:val="6B02BD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A00575"/>
    <w:multiLevelType w:val="hybridMultilevel"/>
    <w:tmpl w:val="CD62BDBC"/>
    <w:lvl w:ilvl="0" w:tplc="D3307592">
      <w:start w:val="202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484474"/>
    <w:multiLevelType w:val="multilevel"/>
    <w:tmpl w:val="CDB656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B3580A"/>
    <w:multiLevelType w:val="multilevel"/>
    <w:tmpl w:val="A2D2DD8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90449501">
    <w:abstractNumId w:val="13"/>
  </w:num>
  <w:num w:numId="2" w16cid:durableId="1080829840">
    <w:abstractNumId w:val="7"/>
  </w:num>
  <w:num w:numId="3" w16cid:durableId="1349601342">
    <w:abstractNumId w:val="8"/>
  </w:num>
  <w:num w:numId="4" w16cid:durableId="948853227">
    <w:abstractNumId w:val="14"/>
  </w:num>
  <w:num w:numId="5" w16cid:durableId="2026637048">
    <w:abstractNumId w:val="15"/>
  </w:num>
  <w:num w:numId="6" w16cid:durableId="1216359258">
    <w:abstractNumId w:val="5"/>
  </w:num>
  <w:num w:numId="7" w16cid:durableId="769275200">
    <w:abstractNumId w:val="3"/>
  </w:num>
  <w:num w:numId="8" w16cid:durableId="1647082393">
    <w:abstractNumId w:val="6"/>
  </w:num>
  <w:num w:numId="9" w16cid:durableId="834996108">
    <w:abstractNumId w:val="0"/>
  </w:num>
  <w:num w:numId="10" w16cid:durableId="1933968239">
    <w:abstractNumId w:val="10"/>
  </w:num>
  <w:num w:numId="11" w16cid:durableId="819151155">
    <w:abstractNumId w:val="9"/>
  </w:num>
  <w:num w:numId="12" w16cid:durableId="1301883795">
    <w:abstractNumId w:val="12"/>
  </w:num>
  <w:num w:numId="13" w16cid:durableId="1648780199">
    <w:abstractNumId w:val="2"/>
  </w:num>
  <w:num w:numId="14" w16cid:durableId="300235887">
    <w:abstractNumId w:val="11"/>
  </w:num>
  <w:num w:numId="15" w16cid:durableId="144931881">
    <w:abstractNumId w:val="1"/>
  </w:num>
  <w:num w:numId="16" w16cid:durableId="615719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BF"/>
    <w:rsid w:val="0002144F"/>
    <w:rsid w:val="00041CF2"/>
    <w:rsid w:val="0007188E"/>
    <w:rsid w:val="00074119"/>
    <w:rsid w:val="00094D5B"/>
    <w:rsid w:val="000A3707"/>
    <w:rsid w:val="000B1E56"/>
    <w:rsid w:val="000F075D"/>
    <w:rsid w:val="00101FBF"/>
    <w:rsid w:val="00130C8B"/>
    <w:rsid w:val="00136761"/>
    <w:rsid w:val="001406D3"/>
    <w:rsid w:val="001863A0"/>
    <w:rsid w:val="001C366D"/>
    <w:rsid w:val="001F1807"/>
    <w:rsid w:val="002458AF"/>
    <w:rsid w:val="0024726E"/>
    <w:rsid w:val="00294C9D"/>
    <w:rsid w:val="002A51BA"/>
    <w:rsid w:val="002A56E5"/>
    <w:rsid w:val="002A609B"/>
    <w:rsid w:val="002C05CF"/>
    <w:rsid w:val="002F43C3"/>
    <w:rsid w:val="0032797A"/>
    <w:rsid w:val="00333866"/>
    <w:rsid w:val="00334F4E"/>
    <w:rsid w:val="003519FA"/>
    <w:rsid w:val="00365B55"/>
    <w:rsid w:val="0036650A"/>
    <w:rsid w:val="003857C9"/>
    <w:rsid w:val="003E2723"/>
    <w:rsid w:val="00405473"/>
    <w:rsid w:val="00416D9B"/>
    <w:rsid w:val="00453F36"/>
    <w:rsid w:val="00475876"/>
    <w:rsid w:val="004C3FE2"/>
    <w:rsid w:val="004F5C36"/>
    <w:rsid w:val="00504BEA"/>
    <w:rsid w:val="00523B57"/>
    <w:rsid w:val="00533FF8"/>
    <w:rsid w:val="00545B74"/>
    <w:rsid w:val="005664DE"/>
    <w:rsid w:val="00591B1B"/>
    <w:rsid w:val="00596A06"/>
    <w:rsid w:val="006229A8"/>
    <w:rsid w:val="0067740C"/>
    <w:rsid w:val="00691912"/>
    <w:rsid w:val="006B454E"/>
    <w:rsid w:val="006D175B"/>
    <w:rsid w:val="006D48F4"/>
    <w:rsid w:val="006D6B61"/>
    <w:rsid w:val="006E6FAB"/>
    <w:rsid w:val="0070239A"/>
    <w:rsid w:val="00733FB0"/>
    <w:rsid w:val="00755584"/>
    <w:rsid w:val="0076743F"/>
    <w:rsid w:val="00777812"/>
    <w:rsid w:val="007B637D"/>
    <w:rsid w:val="007D7D61"/>
    <w:rsid w:val="007F46A5"/>
    <w:rsid w:val="008621C9"/>
    <w:rsid w:val="008B6702"/>
    <w:rsid w:val="008C6458"/>
    <w:rsid w:val="008E55F1"/>
    <w:rsid w:val="00916B01"/>
    <w:rsid w:val="00936413"/>
    <w:rsid w:val="00937E14"/>
    <w:rsid w:val="00943B91"/>
    <w:rsid w:val="009541CF"/>
    <w:rsid w:val="00962537"/>
    <w:rsid w:val="0096294D"/>
    <w:rsid w:val="00987D05"/>
    <w:rsid w:val="00992E22"/>
    <w:rsid w:val="00994F56"/>
    <w:rsid w:val="009F19BD"/>
    <w:rsid w:val="00A4111C"/>
    <w:rsid w:val="00A47250"/>
    <w:rsid w:val="00A9409B"/>
    <w:rsid w:val="00AA2AC2"/>
    <w:rsid w:val="00AA63E4"/>
    <w:rsid w:val="00AB1FD3"/>
    <w:rsid w:val="00AD588A"/>
    <w:rsid w:val="00AF0A1A"/>
    <w:rsid w:val="00B51443"/>
    <w:rsid w:val="00B962D5"/>
    <w:rsid w:val="00BB0C57"/>
    <w:rsid w:val="00BB1B9D"/>
    <w:rsid w:val="00BD43B9"/>
    <w:rsid w:val="00BE2E0A"/>
    <w:rsid w:val="00BE469C"/>
    <w:rsid w:val="00C06A05"/>
    <w:rsid w:val="00C071C4"/>
    <w:rsid w:val="00C10AD9"/>
    <w:rsid w:val="00C131CF"/>
    <w:rsid w:val="00C178D4"/>
    <w:rsid w:val="00C2362F"/>
    <w:rsid w:val="00C34B5B"/>
    <w:rsid w:val="00C51EA5"/>
    <w:rsid w:val="00C5275F"/>
    <w:rsid w:val="00C86C7E"/>
    <w:rsid w:val="00C93E5E"/>
    <w:rsid w:val="00CE7468"/>
    <w:rsid w:val="00CF1207"/>
    <w:rsid w:val="00D11281"/>
    <w:rsid w:val="00D66E9D"/>
    <w:rsid w:val="00D70C60"/>
    <w:rsid w:val="00D75950"/>
    <w:rsid w:val="00D956BD"/>
    <w:rsid w:val="00DA2310"/>
    <w:rsid w:val="00DD6E78"/>
    <w:rsid w:val="00E1637B"/>
    <w:rsid w:val="00E1697F"/>
    <w:rsid w:val="00EC0CDC"/>
    <w:rsid w:val="00ED325D"/>
    <w:rsid w:val="00F247D6"/>
    <w:rsid w:val="00F305CF"/>
    <w:rsid w:val="00F97614"/>
    <w:rsid w:val="00FA0AE7"/>
    <w:rsid w:val="00FB0774"/>
    <w:rsid w:val="00FC60B1"/>
    <w:rsid w:val="00FC7192"/>
    <w:rsid w:val="00FF5326"/>
    <w:rsid w:val="2622DE0A"/>
    <w:rsid w:val="3028441A"/>
    <w:rsid w:val="6997D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3ACF8"/>
  <w15:chartTrackingRefBased/>
  <w15:docId w15:val="{47F84E29-6262-4A04-991E-48E3879D7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F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01FBF"/>
    <w:pPr>
      <w:ind w:left="720"/>
      <w:contextualSpacing/>
    </w:pPr>
  </w:style>
  <w:style w:type="table" w:styleId="Grilledutableau">
    <w:name w:val="Table Grid"/>
    <w:basedOn w:val="TableauNormal"/>
    <w:uiPriority w:val="39"/>
    <w:rsid w:val="0010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AD9"/>
    <w:pPr>
      <w:autoSpaceDE w:val="0"/>
      <w:autoSpaceDN w:val="0"/>
      <w:adjustRightInd w:val="0"/>
      <w:spacing w:after="0" w:line="240" w:lineRule="auto"/>
    </w:pPr>
    <w:rPr>
      <w:rFonts w:ascii="Aptos" w:hAnsi="Aptos" w:cs="Aptos"/>
      <w:color w:val="000000"/>
      <w:kern w:val="0"/>
      <w:sz w:val="24"/>
      <w:szCs w:val="24"/>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24726E"/>
    <w:pPr>
      <w:spacing w:after="0" w:line="240" w:lineRule="auto"/>
    </w:pPr>
  </w:style>
  <w:style w:type="paragraph" w:styleId="Objetducommentaire">
    <w:name w:val="annotation subject"/>
    <w:basedOn w:val="Commentaire"/>
    <w:next w:val="Commentaire"/>
    <w:link w:val="ObjetducommentaireCar"/>
    <w:uiPriority w:val="99"/>
    <w:semiHidden/>
    <w:unhideWhenUsed/>
    <w:rsid w:val="008E55F1"/>
    <w:rPr>
      <w:b/>
      <w:bCs/>
    </w:rPr>
  </w:style>
  <w:style w:type="character" w:customStyle="1" w:styleId="ObjetducommentaireCar">
    <w:name w:val="Objet du commentaire Car"/>
    <w:basedOn w:val="CommentaireCar"/>
    <w:link w:val="Objetducommentaire"/>
    <w:uiPriority w:val="99"/>
    <w:semiHidden/>
    <w:rsid w:val="008E55F1"/>
    <w:rPr>
      <w:b/>
      <w:bCs/>
      <w:sz w:val="20"/>
      <w:szCs w:val="20"/>
    </w:rPr>
  </w:style>
  <w:style w:type="paragraph" w:styleId="Textedebulles">
    <w:name w:val="Balloon Text"/>
    <w:basedOn w:val="Normal"/>
    <w:link w:val="TextedebullesCar"/>
    <w:uiPriority w:val="99"/>
    <w:semiHidden/>
    <w:unhideWhenUsed/>
    <w:rsid w:val="008E55F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55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631931">
      <w:bodyDiv w:val="1"/>
      <w:marLeft w:val="0"/>
      <w:marRight w:val="0"/>
      <w:marTop w:val="0"/>
      <w:marBottom w:val="0"/>
      <w:divBdr>
        <w:top w:val="none" w:sz="0" w:space="0" w:color="auto"/>
        <w:left w:val="none" w:sz="0" w:space="0" w:color="auto"/>
        <w:bottom w:val="none" w:sz="0" w:space="0" w:color="auto"/>
        <w:right w:val="none" w:sz="0" w:space="0" w:color="auto"/>
      </w:divBdr>
    </w:div>
    <w:div w:id="112855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894</Words>
  <Characters>4918</Characters>
  <Application>Microsoft Office Word</Application>
  <DocSecurity>0</DocSecurity>
  <Lines>40</Lines>
  <Paragraphs>11</Paragraphs>
  <ScaleCrop>false</ScaleCrop>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Delpierre</dc:creator>
  <cp:keywords/>
  <dc:description/>
  <cp:lastModifiedBy>Mélanie CROMBECQUE</cp:lastModifiedBy>
  <cp:revision>82</cp:revision>
  <dcterms:created xsi:type="dcterms:W3CDTF">2024-07-01T13:43:00Z</dcterms:created>
  <dcterms:modified xsi:type="dcterms:W3CDTF">2024-10-04T13:44:00Z</dcterms:modified>
</cp:coreProperties>
</file>